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15" w:rightChars="150"/>
        <w:rPr>
          <w:rFonts w:ascii="黑体" w:hAnsi="黑体" w:eastAsia="黑体"/>
          <w:color w:val="000000"/>
          <w:sz w:val="32"/>
          <w:szCs w:val="36"/>
        </w:rPr>
      </w:pPr>
      <w:r>
        <w:rPr>
          <w:rFonts w:hint="eastAsia" w:ascii="黑体" w:hAnsi="黑体" w:eastAsia="黑体"/>
          <w:color w:val="000000"/>
          <w:sz w:val="32"/>
          <w:szCs w:val="36"/>
        </w:rPr>
        <w:t>附件1</w:t>
      </w:r>
    </w:p>
    <w:p>
      <w:pPr>
        <w:spacing w:line="600" w:lineRule="exact"/>
        <w:ind w:right="315" w:rightChars="150"/>
        <w:rPr>
          <w:rFonts w:ascii="仿宋" w:hAnsi="仿宋" w:eastAsia="仿宋" w:cs="宋体"/>
          <w:sz w:val="36"/>
          <w:szCs w:val="36"/>
        </w:rPr>
      </w:pPr>
    </w:p>
    <w:p>
      <w:pPr>
        <w:spacing w:line="600" w:lineRule="exact"/>
        <w:jc w:val="center"/>
        <w:rPr>
          <w:rFonts w:ascii="方正小标宋_GBK" w:hAnsi="宋体" w:eastAsia="方正小标宋_GBK"/>
          <w:sz w:val="44"/>
          <w:szCs w:val="44"/>
        </w:rPr>
      </w:pPr>
      <w:bookmarkStart w:id="0" w:name="_GoBack"/>
      <w:r>
        <w:rPr>
          <w:rFonts w:hint="eastAsia" w:ascii="方正小标宋_GBK" w:hAnsi="宋体" w:eastAsia="方正小标宋_GBK"/>
          <w:sz w:val="44"/>
          <w:szCs w:val="44"/>
        </w:rPr>
        <w:t>青海省民政厅 财政厅关于印发《2021年青海省民政厅向社会组织购买社会服务项目</w:t>
      </w: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实施方案》的通知</w:t>
      </w:r>
    </w:p>
    <w:bookmarkEnd w:id="0"/>
    <w:p>
      <w:pPr>
        <w:tabs>
          <w:tab w:val="left" w:pos="2925"/>
          <w:tab w:val="center" w:pos="4582"/>
        </w:tabs>
        <w:spacing w:line="500" w:lineRule="exact"/>
        <w:jc w:val="center"/>
        <w:rPr>
          <w:rFonts w:ascii="仿宋" w:hAnsi="仿宋" w:eastAsia="仿宋"/>
          <w:sz w:val="32"/>
        </w:rPr>
      </w:pPr>
    </w:p>
    <w:p>
      <w:pPr>
        <w:tabs>
          <w:tab w:val="left" w:pos="2925"/>
          <w:tab w:val="center" w:pos="4582"/>
        </w:tabs>
        <w:spacing w:line="500" w:lineRule="exact"/>
        <w:jc w:val="center"/>
        <w:rPr>
          <w:rFonts w:ascii="仿宋_GB2312" w:hAnsi="仿宋" w:eastAsia="仿宋_GB2312"/>
          <w:b/>
          <w:sz w:val="32"/>
        </w:rPr>
      </w:pPr>
      <w:r>
        <w:rPr>
          <w:rFonts w:hint="eastAsia" w:ascii="仿宋_GB2312" w:hAnsi="仿宋" w:eastAsia="仿宋_GB2312"/>
          <w:sz w:val="32"/>
        </w:rPr>
        <w:t>青民发〔2021〕75号</w:t>
      </w:r>
    </w:p>
    <w:p>
      <w:pPr>
        <w:spacing w:line="300" w:lineRule="exact"/>
        <w:jc w:val="center"/>
        <w:rPr>
          <w:rFonts w:ascii="仿宋_GB2312" w:hAnsi="仿宋" w:eastAsia="仿宋_GB2312"/>
          <w:sz w:val="36"/>
          <w:szCs w:val="36"/>
        </w:rPr>
      </w:pPr>
    </w:p>
    <w:p>
      <w:pPr>
        <w:spacing w:line="200" w:lineRule="exact"/>
        <w:rPr>
          <w:rFonts w:ascii="仿宋_GB2312" w:hAnsi="宋体" w:eastAsia="仿宋_GB2312"/>
          <w:b/>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各市（州）民政局 ：</w:t>
      </w:r>
    </w:p>
    <w:p>
      <w:pPr>
        <w:spacing w:line="560" w:lineRule="exact"/>
        <w:ind w:firstLine="660"/>
        <w:rPr>
          <w:rFonts w:ascii="仿宋_GB2312" w:hAnsi="仿宋" w:eastAsia="仿宋_GB2312"/>
          <w:color w:val="000000"/>
          <w:sz w:val="32"/>
          <w:szCs w:val="36"/>
        </w:rPr>
      </w:pPr>
      <w:r>
        <w:rPr>
          <w:rFonts w:hint="eastAsia" w:ascii="仿宋_GB2312" w:hAnsi="仿宋" w:eastAsia="仿宋_GB2312"/>
          <w:color w:val="000000"/>
          <w:sz w:val="32"/>
          <w:szCs w:val="36"/>
        </w:rPr>
        <w:t>根据财政部《关于支持和规范社会组织承接政府购买服务的通知》（财综〔2014〕87号）、财政部 民政部《关于通过政府购买服务支持社会组织培育发展的指导意见》（财综字〔2016〕54号）以及青海省人民政府办公厅《关于印发〈青海省政府购买服务实施办法〉的通知》（青政办</w:t>
      </w:r>
      <w:r>
        <w:rPr>
          <w:rFonts w:hint="eastAsia" w:ascii="仿宋_GB2312" w:hAnsi="仿宋" w:eastAsia="仿宋_GB2312"/>
          <w:sz w:val="32"/>
        </w:rPr>
        <w:t>〔2020〕</w:t>
      </w:r>
      <w:r>
        <w:rPr>
          <w:rFonts w:hint="eastAsia" w:ascii="仿宋_GB2312" w:hAnsi="仿宋" w:eastAsia="仿宋_GB2312"/>
          <w:color w:val="000000"/>
          <w:sz w:val="32"/>
          <w:szCs w:val="36"/>
        </w:rPr>
        <w:t>82号）等文件精神，青海省民政厅会同青海省财政厅制定了《2021年青海省民政厅向社会组织购买社会服务项目实施方案》，</w:t>
      </w:r>
      <w:r>
        <w:rPr>
          <w:rFonts w:hint="eastAsia" w:ascii="仿宋_GB2312" w:hAnsi="仿宋" w:eastAsia="仿宋_GB2312" w:cs="仿宋_GB2312"/>
          <w:bCs/>
          <w:sz w:val="32"/>
          <w:szCs w:val="32"/>
        </w:rPr>
        <w:t>经青海省民政厅2021年5月27日第3次厅务会议研究通过,</w:t>
      </w:r>
      <w:r>
        <w:rPr>
          <w:rFonts w:hint="eastAsia" w:ascii="仿宋_GB2312" w:hAnsi="仿宋" w:eastAsia="仿宋_GB2312"/>
          <w:color w:val="000000"/>
          <w:sz w:val="32"/>
          <w:szCs w:val="36"/>
        </w:rPr>
        <w:t>现印发给你们，请认真组织实施。</w:t>
      </w:r>
    </w:p>
    <w:p>
      <w:pPr>
        <w:spacing w:line="200" w:lineRule="exact"/>
        <w:ind w:firstLine="658"/>
        <w:rPr>
          <w:rFonts w:ascii="仿宋_GB2312" w:hAnsi="仿宋" w:eastAsia="仿宋_GB2312"/>
          <w:color w:val="000000"/>
          <w:sz w:val="32"/>
          <w:szCs w:val="36"/>
        </w:rPr>
      </w:pPr>
    </w:p>
    <w:p>
      <w:pPr>
        <w:adjustRightInd w:val="0"/>
        <w:snapToGrid w:val="0"/>
        <w:spacing w:line="200" w:lineRule="exact"/>
        <w:ind w:firstLine="640" w:firstLineChars="200"/>
        <w:jc w:val="center"/>
        <w:rPr>
          <w:rFonts w:ascii="仿宋_GB2312" w:hAnsi="仿宋" w:eastAsia="仿宋_GB2312"/>
          <w:sz w:val="32"/>
          <w:szCs w:val="32"/>
        </w:rPr>
      </w:pPr>
    </w:p>
    <w:p>
      <w:pPr>
        <w:adjustRightInd w:val="0"/>
        <w:snapToGrid w:val="0"/>
        <w:spacing w:line="62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 xml:space="preserve">                     2021年6月8日</w:t>
      </w:r>
    </w:p>
    <w:p>
      <w:pPr>
        <w:adjustRightInd w:val="0"/>
        <w:snapToGrid w:val="0"/>
        <w:jc w:val="center"/>
        <w:rPr>
          <w:rFonts w:ascii="仿宋" w:hAnsi="仿宋" w:eastAsia="仿宋"/>
          <w:sz w:val="32"/>
          <w:szCs w:val="32"/>
        </w:rPr>
      </w:pPr>
    </w:p>
    <w:p>
      <w:pPr>
        <w:spacing w:line="620" w:lineRule="exact"/>
        <w:jc w:val="center"/>
        <w:rPr>
          <w:rFonts w:ascii="方正小标宋_GBK" w:hAnsi="宋体" w:eastAsia="方正小标宋_GBK"/>
          <w:sz w:val="44"/>
          <w:szCs w:val="44"/>
        </w:rPr>
      </w:pPr>
    </w:p>
    <w:p>
      <w:pPr>
        <w:spacing w:line="620" w:lineRule="exact"/>
        <w:jc w:val="center"/>
        <w:rPr>
          <w:rFonts w:ascii="宋体" w:hAnsi="宋体"/>
          <w:b/>
          <w:sz w:val="44"/>
          <w:szCs w:val="44"/>
        </w:rPr>
      </w:pPr>
    </w:p>
    <w:p>
      <w:pPr>
        <w:spacing w:line="620" w:lineRule="exact"/>
        <w:jc w:val="center"/>
        <w:rPr>
          <w:rFonts w:ascii="宋体" w:hAnsi="宋体"/>
          <w:b/>
          <w:sz w:val="44"/>
          <w:szCs w:val="44"/>
        </w:rPr>
      </w:pPr>
    </w:p>
    <w:p>
      <w:pPr>
        <w:spacing w:line="620" w:lineRule="exact"/>
        <w:jc w:val="center"/>
        <w:rPr>
          <w:rFonts w:ascii="宋体" w:hAnsi="宋体"/>
          <w:b/>
          <w:sz w:val="44"/>
          <w:szCs w:val="44"/>
        </w:rPr>
      </w:pPr>
    </w:p>
    <w:p>
      <w:pPr>
        <w:spacing w:line="620" w:lineRule="exact"/>
        <w:jc w:val="center"/>
        <w:rPr>
          <w:rFonts w:ascii="方正小标宋_GBK" w:hAnsi="宋体" w:eastAsia="方正小标宋_GBK"/>
          <w:sz w:val="44"/>
          <w:szCs w:val="44"/>
        </w:rPr>
      </w:pPr>
      <w:r>
        <w:rPr>
          <w:rFonts w:hint="eastAsia" w:ascii="方正小标宋_GBK" w:hAnsi="宋体" w:eastAsia="方正小标宋_GBK"/>
          <w:sz w:val="44"/>
          <w:szCs w:val="44"/>
        </w:rPr>
        <w:t>2021年青海省民政厅向社会组织购买</w:t>
      </w:r>
    </w:p>
    <w:p>
      <w:pPr>
        <w:spacing w:line="620" w:lineRule="exact"/>
        <w:jc w:val="center"/>
        <w:rPr>
          <w:rFonts w:ascii="方正小标宋_GBK" w:hAnsi="宋体" w:eastAsia="方正小标宋_GBK"/>
          <w:sz w:val="44"/>
          <w:szCs w:val="44"/>
        </w:rPr>
      </w:pPr>
      <w:r>
        <w:rPr>
          <w:rFonts w:hint="eastAsia" w:ascii="方正小标宋_GBK" w:hAnsi="宋体" w:eastAsia="方正小标宋_GBK"/>
          <w:sz w:val="44"/>
          <w:szCs w:val="44"/>
        </w:rPr>
        <w:t>社会服务项目实施方案</w:t>
      </w:r>
    </w:p>
    <w:p>
      <w:pPr>
        <w:spacing w:line="540" w:lineRule="exact"/>
        <w:ind w:firstLine="640" w:firstLineChars="200"/>
        <w:rPr>
          <w:rFonts w:ascii="仿宋" w:hAnsi="仿宋" w:eastAsia="仿宋"/>
          <w:color w:val="000000"/>
          <w:sz w:val="32"/>
          <w:szCs w:val="36"/>
        </w:rPr>
      </w:pP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olor w:val="000000"/>
          <w:sz w:val="32"/>
          <w:szCs w:val="36"/>
        </w:rPr>
        <w:t>为规范青海省民政厅向社会组织购买社会服务工作，进一步加强专项资金的使用管理，根据财政部《关于支持和规范社会组织承接政府购买服务的通知》（财综〔2014〕87号）、财政部 民政部《关于通过政府购买服务支持社会组织培育发展的指导意见》（财综字〔2016〕54号）以及青海省人民政府办公厅《关于印发〈青海省政府购买服务实施办法〉的通知》（青政办〔2020〕82号）等文件精神，</w:t>
      </w:r>
      <w:r>
        <w:rPr>
          <w:rFonts w:hint="eastAsia" w:ascii="仿宋_GB2312" w:hAnsi="仿宋" w:eastAsia="仿宋_GB2312"/>
          <w:sz w:val="32"/>
          <w:szCs w:val="32"/>
        </w:rPr>
        <w:t>制定本实施方案。</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深入贯彻党的十九大和十九届二中、三中、四中和五中全会精神，全面落实习近平总书记对民政工作重要指示和省委十三届历次全会精神，深化落实省委、省政府关于加快推进新时代民政事业创新发展指导意见的要求和部署，更好履行基本民生保障、基层社会治理、基本社会服务等职责，不断完善政府购买服务体制机制，切实规范政府购买服务行为，进一步转变政府职能、改善公共服务供给。</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二、主要目标</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遵循“预算约束、以事定费、公开择优、诚实信用、讲求绩效”的原则，推进政事分开、政社分开，放宽市场准入，凡是社会能办好的，都交给社会力量承担，建立完善政府购买服务标准体系，形成协调有力的购买社会组织服务管理体制及规范高效的工作机制，培育一批运作规范、公信力强、服务优质的社会组织，不断提升购买服务质量，促使民政服务对象的获得感、幸福感和安全感显著增强,公共服务提供质量和效率显著提升。</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三、实施原则</w:t>
      </w:r>
    </w:p>
    <w:p>
      <w:pPr>
        <w:spacing w:line="560" w:lineRule="exact"/>
        <w:ind w:firstLine="643" w:firstLineChars="200"/>
        <w:jc w:val="left"/>
        <w:rPr>
          <w:rFonts w:ascii="仿宋" w:hAnsi="仿宋" w:eastAsia="仿宋"/>
          <w:sz w:val="32"/>
          <w:szCs w:val="32"/>
        </w:rPr>
      </w:pPr>
      <w:r>
        <w:rPr>
          <w:rFonts w:hint="eastAsia" w:ascii="楷体" w:hAnsi="楷体" w:eastAsia="楷体"/>
          <w:b/>
          <w:sz w:val="32"/>
          <w:szCs w:val="32"/>
        </w:rPr>
        <w:t>（一）政府主导、社会参与。</w:t>
      </w:r>
      <w:r>
        <w:rPr>
          <w:rFonts w:hint="eastAsia" w:ascii="仿宋_GB2312" w:hAnsi="仿宋" w:eastAsia="仿宋_GB2312"/>
          <w:sz w:val="32"/>
          <w:szCs w:val="32"/>
        </w:rPr>
        <w:t>立足我省经济社会发展实际，遵循“预算约束、以事定费、公开择优、诚实信用、讲求绩效”的原则，坚持政府主导、社会参与、突出公益，引导专业社会组织广泛参与，不断完善政府购买服务体制机制。</w:t>
      </w:r>
    </w:p>
    <w:p>
      <w:pPr>
        <w:spacing w:line="560" w:lineRule="exact"/>
        <w:ind w:firstLine="643" w:firstLineChars="200"/>
        <w:jc w:val="left"/>
        <w:rPr>
          <w:rFonts w:ascii="仿宋_GB2312" w:hAnsi="仿宋" w:eastAsia="仿宋_GB2312"/>
          <w:sz w:val="32"/>
          <w:szCs w:val="32"/>
        </w:rPr>
      </w:pPr>
      <w:r>
        <w:rPr>
          <w:rFonts w:hint="eastAsia" w:ascii="楷体" w:hAnsi="楷体" w:eastAsia="楷体"/>
          <w:b/>
          <w:sz w:val="32"/>
          <w:szCs w:val="32"/>
        </w:rPr>
        <w:t>(二)整合资源、规范管理。</w:t>
      </w:r>
      <w:r>
        <w:rPr>
          <w:rFonts w:hint="eastAsia" w:ascii="仿宋_GB2312" w:hAnsi="仿宋" w:eastAsia="仿宋_GB2312"/>
          <w:sz w:val="32"/>
          <w:szCs w:val="32"/>
        </w:rPr>
        <w:t>围绕“扶老、助残、救孤、济困”的服务宗旨，整合各项民政工作资源，建立统一征集、申报、实施、监督机制，规范管理程序，降低管理风险，杜绝重复实施的现象。</w:t>
      </w:r>
    </w:p>
    <w:p>
      <w:pPr>
        <w:pStyle w:val="2"/>
        <w:shd w:val="clear" w:color="auto" w:fill="FFFFFF"/>
        <w:spacing w:line="560" w:lineRule="exact"/>
        <w:ind w:firstLine="643" w:firstLineChars="200"/>
        <w:rPr>
          <w:rFonts w:ascii="仿宋_GB2312" w:hAnsi="仿宋" w:eastAsia="仿宋_GB2312"/>
          <w:sz w:val="32"/>
          <w:szCs w:val="32"/>
        </w:rPr>
      </w:pPr>
      <w:r>
        <w:rPr>
          <w:rFonts w:hint="eastAsia" w:ascii="楷体" w:hAnsi="楷体" w:eastAsia="楷体"/>
          <w:b/>
          <w:kern w:val="2"/>
          <w:sz w:val="32"/>
          <w:szCs w:val="32"/>
        </w:rPr>
        <w:t>（三）注重实效、严格评估。</w:t>
      </w:r>
      <w:r>
        <w:rPr>
          <w:rFonts w:hint="eastAsia" w:ascii="仿宋_GB2312" w:hAnsi="仿宋" w:eastAsia="仿宋_GB2312"/>
          <w:kern w:val="2"/>
          <w:sz w:val="32"/>
          <w:szCs w:val="32"/>
        </w:rPr>
        <w:t>围绕社会服务工作的服务流程、专业方法、质量控制、监督管理、需求评估、成本核算、绩效评价、能力建设等环节，注重实效，严格评估。</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四、购买内容</w:t>
      </w:r>
    </w:p>
    <w:p>
      <w:pPr>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按照福利彩票公益金的发行宗旨，针对村（社区）残、孤、困等特殊困难人群在生活、身心方面存在的困难和问题，根据《青海省政府购买服务综合指导性目录》将购买服务类别划分为：一级目录2类，二级目录5款，三级目录17项。（详见附件1） </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五、承接要求</w:t>
      </w:r>
    </w:p>
    <w:p>
      <w:pPr>
        <w:spacing w:line="560" w:lineRule="exact"/>
        <w:ind w:firstLine="643" w:firstLineChars="200"/>
        <w:rPr>
          <w:rFonts w:ascii="仿宋_GB2312" w:hAnsi="仿宋" w:eastAsia="仿宋_GB2312"/>
          <w:color w:val="000000"/>
          <w:sz w:val="32"/>
          <w:szCs w:val="32"/>
          <w:lang w:val="zh-CN"/>
        </w:rPr>
      </w:pPr>
      <w:r>
        <w:rPr>
          <w:rFonts w:hint="eastAsia" w:ascii="楷体" w:hAnsi="楷体" w:eastAsia="楷体"/>
          <w:b/>
          <w:sz w:val="32"/>
          <w:szCs w:val="32"/>
        </w:rPr>
        <w:t>（一）体现需求的迫切性。</w:t>
      </w:r>
      <w:r>
        <w:rPr>
          <w:rFonts w:hint="eastAsia" w:ascii="仿宋_GB2312" w:hAnsi="仿宋" w:eastAsia="仿宋_GB2312"/>
          <w:color w:val="000000"/>
          <w:sz w:val="32"/>
          <w:szCs w:val="32"/>
          <w:lang w:val="zh-CN"/>
        </w:rPr>
        <w:t>项目所涉及的服务对象应以民政服务对象等弱势困难群体为主，具有一定的迫切性、针对性和代表性，能够回应服务对象生理、心理和社会需求。</w:t>
      </w:r>
    </w:p>
    <w:p>
      <w:pPr>
        <w:pStyle w:val="2"/>
        <w:shd w:val="clear" w:color="auto" w:fill="FFFFFF"/>
        <w:spacing w:line="560" w:lineRule="exact"/>
        <w:ind w:firstLine="643" w:firstLineChars="200"/>
        <w:jc w:val="both"/>
        <w:rPr>
          <w:rFonts w:ascii="仿宋_GB2312" w:hAnsi="仿宋" w:eastAsia="仿宋_GB2312"/>
          <w:color w:val="000000"/>
          <w:sz w:val="32"/>
          <w:szCs w:val="32"/>
        </w:rPr>
      </w:pPr>
      <w:r>
        <w:rPr>
          <w:rFonts w:hint="eastAsia" w:ascii="楷体" w:hAnsi="楷体" w:eastAsia="楷体"/>
          <w:b/>
          <w:kern w:val="2"/>
          <w:sz w:val="32"/>
          <w:szCs w:val="32"/>
        </w:rPr>
        <w:t>（二）目标定位的准确性。</w:t>
      </w:r>
      <w:r>
        <w:rPr>
          <w:rFonts w:hint="eastAsia" w:ascii="仿宋_GB2312" w:hAnsi="仿宋" w:eastAsia="仿宋_GB2312"/>
          <w:color w:val="000000"/>
          <w:sz w:val="32"/>
          <w:szCs w:val="32"/>
          <w:lang w:val="zh-CN"/>
        </w:rPr>
        <w:t>严格按照</w:t>
      </w:r>
      <w:r>
        <w:rPr>
          <w:rFonts w:hint="eastAsia" w:ascii="仿宋_GB2312" w:hAnsi="仿宋" w:eastAsia="仿宋_GB2312"/>
          <w:color w:val="000000"/>
          <w:sz w:val="32"/>
          <w:szCs w:val="32"/>
        </w:rPr>
        <w:t>福利彩票公益金“扶老、助残、救孤、济困”发行宗旨申报项目，不得借助项目从事营利性活动，项目的服务范围、服务内容、服务目标定位准确。</w:t>
      </w:r>
    </w:p>
    <w:p>
      <w:pPr>
        <w:pStyle w:val="2"/>
        <w:shd w:val="clear" w:color="auto" w:fill="FFFFFF"/>
        <w:spacing w:line="560" w:lineRule="exact"/>
        <w:ind w:firstLine="643" w:firstLineChars="200"/>
        <w:jc w:val="both"/>
        <w:rPr>
          <w:rFonts w:ascii="仿宋_GB2312" w:hAnsi="仿宋" w:eastAsia="仿宋_GB2312"/>
          <w:b/>
          <w:color w:val="000000"/>
          <w:sz w:val="32"/>
          <w:szCs w:val="32"/>
          <w:lang w:val="zh-CN"/>
        </w:rPr>
      </w:pPr>
      <w:r>
        <w:rPr>
          <w:rFonts w:hint="eastAsia" w:ascii="楷体" w:hAnsi="楷体" w:eastAsia="楷体"/>
          <w:b/>
          <w:kern w:val="2"/>
          <w:sz w:val="32"/>
          <w:szCs w:val="32"/>
        </w:rPr>
        <w:t>（三）服务理念的先进性。</w:t>
      </w:r>
      <w:r>
        <w:rPr>
          <w:rFonts w:hint="eastAsia" w:ascii="仿宋_GB2312" w:hAnsi="仿宋" w:eastAsia="仿宋_GB2312"/>
          <w:color w:val="000000"/>
          <w:sz w:val="32"/>
          <w:szCs w:val="32"/>
        </w:rPr>
        <w:t>项目的实施理念、运作模式、参与方式具有可操作性、可复制性和一定的创新性，符合政府相关政策导向和发展理念，有复制和推广价值。</w:t>
      </w:r>
    </w:p>
    <w:p>
      <w:pPr>
        <w:pStyle w:val="2"/>
        <w:shd w:val="clear" w:color="auto" w:fill="FFFFFF"/>
        <w:spacing w:line="560" w:lineRule="exact"/>
        <w:ind w:firstLine="643" w:firstLineChars="200"/>
        <w:jc w:val="both"/>
        <w:rPr>
          <w:rFonts w:ascii="仿宋_GB2312" w:hAnsi="仿宋" w:eastAsia="仿宋_GB2312"/>
          <w:b/>
          <w:color w:val="000000"/>
          <w:sz w:val="32"/>
          <w:szCs w:val="32"/>
          <w:lang w:val="zh-CN"/>
        </w:rPr>
      </w:pPr>
      <w:r>
        <w:rPr>
          <w:rFonts w:hint="eastAsia" w:ascii="楷体" w:hAnsi="楷体" w:eastAsia="楷体"/>
          <w:b/>
          <w:kern w:val="2"/>
          <w:sz w:val="32"/>
          <w:szCs w:val="32"/>
        </w:rPr>
        <w:t>（四）项目方案的科学性。</w:t>
      </w:r>
      <w:r>
        <w:rPr>
          <w:rFonts w:hint="eastAsia" w:ascii="仿宋_GB2312" w:hAnsi="仿宋" w:eastAsia="仿宋_GB2312"/>
          <w:color w:val="000000"/>
          <w:sz w:val="32"/>
          <w:szCs w:val="32"/>
        </w:rPr>
        <w:t>项目经费预算合理、服务内容详实、实施方案科学可行、项目目标以及产出指标明细。</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六、资质条件</w:t>
      </w:r>
    </w:p>
    <w:p>
      <w:pPr>
        <w:spacing w:line="560" w:lineRule="exact"/>
        <w:ind w:firstLine="643" w:firstLineChars="200"/>
        <w:rPr>
          <w:rFonts w:ascii="仿宋_GB2312" w:hAnsi="仿宋" w:eastAsia="仿宋_GB2312"/>
          <w:sz w:val="32"/>
          <w:szCs w:val="32"/>
        </w:rPr>
      </w:pPr>
      <w:r>
        <w:rPr>
          <w:rFonts w:hint="eastAsia" w:ascii="楷体" w:hAnsi="楷体" w:eastAsia="楷体"/>
          <w:b/>
          <w:sz w:val="32"/>
          <w:szCs w:val="32"/>
        </w:rPr>
        <w:t>（一）承接主体。</w:t>
      </w:r>
      <w:r>
        <w:rPr>
          <w:rFonts w:hint="eastAsia" w:ascii="仿宋_GB2312" w:hAnsi="仿宋" w:eastAsia="仿宋_GB2312" w:cs="宋体"/>
          <w:color w:val="000000"/>
          <w:kern w:val="0"/>
          <w:sz w:val="32"/>
          <w:szCs w:val="32"/>
        </w:rPr>
        <w:t>依法在我省各级民政部门登记成立或经国务院批准免予登记的社会组织，且</w:t>
      </w:r>
      <w:r>
        <w:rPr>
          <w:rFonts w:hint="eastAsia" w:ascii="仿宋_GB2312" w:hAnsi="仿宋" w:eastAsia="仿宋_GB2312"/>
          <w:sz w:val="32"/>
          <w:szCs w:val="32"/>
        </w:rPr>
        <w:t>拥有一支能够熟练掌握和灵活运用专业知识、方法和技能提供社会服务的专业人才队伍。</w:t>
      </w:r>
    </w:p>
    <w:p>
      <w:pPr>
        <w:pStyle w:val="5"/>
        <w:spacing w:before="0" w:beforeAutospacing="0" w:after="0" w:afterAutospacing="0" w:line="560" w:lineRule="exact"/>
        <w:ind w:firstLine="643" w:firstLineChars="200"/>
        <w:jc w:val="both"/>
        <w:rPr>
          <w:rFonts w:ascii="仿宋_GB2312" w:hAnsi="仿宋" w:eastAsia="仿宋_GB2312"/>
          <w:b/>
          <w:sz w:val="32"/>
          <w:szCs w:val="32"/>
        </w:rPr>
      </w:pPr>
      <w:r>
        <w:rPr>
          <w:rFonts w:hint="eastAsia" w:ascii="楷体" w:hAnsi="楷体" w:eastAsia="楷体" w:cs="Times New Roman"/>
          <w:b/>
          <w:kern w:val="2"/>
          <w:sz w:val="32"/>
          <w:szCs w:val="32"/>
        </w:rPr>
        <w:t>（二）资质条件。</w:t>
      </w:r>
      <w:r>
        <w:rPr>
          <w:rFonts w:hint="eastAsia" w:ascii="仿宋_GB2312" w:hAnsi="仿宋" w:eastAsia="仿宋_GB2312" w:cs="Times New Roman"/>
          <w:kern w:val="2"/>
          <w:sz w:val="32"/>
          <w:szCs w:val="32"/>
        </w:rPr>
        <w:t>申报项目的社会组织应当同时具备下列资格条件：</w:t>
      </w:r>
    </w:p>
    <w:p>
      <w:pPr>
        <w:pStyle w:val="5"/>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cs="Times New Roman"/>
          <w:kern w:val="2"/>
          <w:sz w:val="32"/>
          <w:szCs w:val="32"/>
        </w:rPr>
        <w:t>1.</w:t>
      </w:r>
      <w:r>
        <w:rPr>
          <w:rFonts w:hint="eastAsia" w:ascii="仿宋_GB2312" w:hAnsi="仿宋" w:eastAsia="仿宋_GB2312"/>
          <w:sz w:val="32"/>
          <w:szCs w:val="32"/>
        </w:rPr>
        <w:t>具有健全的法人治理结构、内部管理制度，良好的社会信用，完善的信息公开和监督制度；</w:t>
      </w:r>
    </w:p>
    <w:p>
      <w:pPr>
        <w:pStyle w:val="5"/>
        <w:spacing w:before="0" w:beforeAutospacing="0" w:after="0" w:afterAutospacing="0"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olor w:val="000000"/>
          <w:sz w:val="32"/>
          <w:szCs w:val="32"/>
        </w:rPr>
        <w:t>2.有开展项目所需的固定办公场所、设备；</w:t>
      </w:r>
    </w:p>
    <w:p>
      <w:pPr>
        <w:widowControl/>
        <w:spacing w:line="560" w:lineRule="exact"/>
        <w:ind w:firstLine="640" w:firstLineChars="200"/>
        <w:rPr>
          <w:rFonts w:ascii="仿宋_GB2312" w:hAnsi="仿宋" w:eastAsia="仿宋_GB2312" w:cs="宋体"/>
          <w:color w:val="000000"/>
          <w:kern w:val="0"/>
          <w:sz w:val="27"/>
          <w:szCs w:val="27"/>
        </w:rPr>
      </w:pPr>
      <w:r>
        <w:rPr>
          <w:rFonts w:hint="eastAsia" w:ascii="仿宋_GB2312" w:hAnsi="仿宋" w:eastAsia="仿宋_GB2312"/>
          <w:sz w:val="32"/>
          <w:szCs w:val="32"/>
        </w:rPr>
        <w:t>3.</w:t>
      </w:r>
      <w:r>
        <w:rPr>
          <w:rFonts w:hint="eastAsia" w:ascii="仿宋_GB2312" w:hAnsi="仿宋" w:eastAsia="仿宋_GB2312" w:cs="宋体"/>
          <w:color w:val="000000"/>
          <w:kern w:val="0"/>
          <w:sz w:val="32"/>
          <w:szCs w:val="32"/>
        </w:rPr>
        <w:t>具有健全的财务管理、会计核算和资产管理制度以及</w:t>
      </w:r>
      <w:r>
        <w:rPr>
          <w:rFonts w:hint="eastAsia" w:ascii="仿宋_GB2312" w:hAnsi="仿宋" w:eastAsia="仿宋_GB2312"/>
          <w:sz w:val="32"/>
          <w:szCs w:val="32"/>
        </w:rPr>
        <w:t xml:space="preserve">独立的银行账号； </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4.有健全的工作队伍和较好的执行能力，专业人才不少于2名；</w:t>
      </w:r>
    </w:p>
    <w:p>
      <w:pPr>
        <w:pStyle w:val="5"/>
        <w:spacing w:before="0" w:beforeAutospacing="0" w:after="0" w:afterAutospacing="0"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s="Times New Roman"/>
          <w:kern w:val="2"/>
          <w:sz w:val="32"/>
          <w:szCs w:val="32"/>
        </w:rPr>
        <w:t>5.</w:t>
      </w:r>
      <w:r>
        <w:rPr>
          <w:rFonts w:hint="eastAsia" w:ascii="仿宋_GB2312" w:hAnsi="仿宋" w:eastAsia="仿宋_GB2312"/>
          <w:sz w:val="32"/>
          <w:szCs w:val="32"/>
        </w:rPr>
        <w:t>上一年度年检合格，</w:t>
      </w:r>
      <w:r>
        <w:rPr>
          <w:rFonts w:hint="eastAsia" w:ascii="仿宋_GB2312" w:hAnsi="仿宋" w:eastAsia="仿宋_GB2312"/>
          <w:color w:val="000000"/>
          <w:sz w:val="32"/>
          <w:szCs w:val="32"/>
        </w:rPr>
        <w:t>无违法违纪行为，未被列入活动异常名录或严重违法失信名单，信誉良好；</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6.满足项目差异化所需的其它条件；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7.法律法规和购买服务政策规定的其它条件。</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七、购买主体、资金性质和资助额度</w:t>
      </w:r>
    </w:p>
    <w:p>
      <w:pPr>
        <w:spacing w:line="560" w:lineRule="exact"/>
        <w:ind w:firstLine="643" w:firstLineChars="200"/>
        <w:jc w:val="left"/>
        <w:rPr>
          <w:rFonts w:ascii="仿宋" w:hAnsi="仿宋" w:eastAsia="仿宋"/>
          <w:b/>
          <w:sz w:val="32"/>
          <w:szCs w:val="32"/>
        </w:rPr>
      </w:pPr>
      <w:r>
        <w:rPr>
          <w:rFonts w:hint="eastAsia" w:ascii="楷体" w:hAnsi="楷体" w:eastAsia="楷体"/>
          <w:b/>
          <w:sz w:val="32"/>
          <w:szCs w:val="32"/>
        </w:rPr>
        <w:t>（一）购买主体</w:t>
      </w:r>
      <w:r>
        <w:rPr>
          <w:rFonts w:hint="eastAsia" w:ascii="仿宋_GB2312" w:hAnsi="楷体" w:eastAsia="仿宋_GB2312"/>
          <w:b/>
          <w:sz w:val="32"/>
          <w:szCs w:val="32"/>
        </w:rPr>
        <w:t>。</w:t>
      </w:r>
      <w:r>
        <w:rPr>
          <w:rFonts w:hint="eastAsia" w:ascii="仿宋_GB2312" w:hAnsi="仿宋" w:eastAsia="仿宋_GB2312"/>
          <w:sz w:val="32"/>
          <w:szCs w:val="32"/>
        </w:rPr>
        <w:t xml:space="preserve">青海省民政厅。  </w:t>
      </w:r>
    </w:p>
    <w:p>
      <w:pPr>
        <w:spacing w:line="560" w:lineRule="exact"/>
        <w:ind w:firstLine="643" w:firstLineChars="200"/>
        <w:jc w:val="left"/>
        <w:rPr>
          <w:rFonts w:ascii="仿宋_GB2312" w:hAnsi="仿宋" w:eastAsia="仿宋_GB2312"/>
          <w:sz w:val="32"/>
          <w:szCs w:val="32"/>
        </w:rPr>
      </w:pPr>
      <w:r>
        <w:rPr>
          <w:rFonts w:hint="eastAsia" w:ascii="楷体" w:hAnsi="楷体" w:eastAsia="楷体"/>
          <w:b/>
          <w:sz w:val="32"/>
          <w:szCs w:val="32"/>
        </w:rPr>
        <w:t>（二）资金性质。</w:t>
      </w:r>
      <w:r>
        <w:rPr>
          <w:rFonts w:hint="eastAsia" w:ascii="仿宋_GB2312" w:hAnsi="仿宋" w:eastAsia="仿宋_GB2312"/>
          <w:sz w:val="32"/>
          <w:szCs w:val="32"/>
        </w:rPr>
        <w:t>厅本级福利彩票公益金。</w:t>
      </w:r>
    </w:p>
    <w:p>
      <w:pPr>
        <w:spacing w:line="560" w:lineRule="exact"/>
        <w:ind w:firstLine="643" w:firstLineChars="200"/>
        <w:jc w:val="left"/>
        <w:rPr>
          <w:rFonts w:ascii="仿宋_GB2312" w:hAnsi="仿宋" w:eastAsia="仿宋_GB2312"/>
          <w:b/>
          <w:sz w:val="32"/>
          <w:szCs w:val="32"/>
        </w:rPr>
      </w:pPr>
      <w:r>
        <w:rPr>
          <w:rFonts w:hint="eastAsia" w:ascii="楷体" w:hAnsi="楷体" w:eastAsia="楷体"/>
          <w:b/>
          <w:sz w:val="32"/>
          <w:szCs w:val="32"/>
        </w:rPr>
        <w:t>（三）资金额度。</w:t>
      </w:r>
      <w:r>
        <w:rPr>
          <w:rFonts w:hint="eastAsia" w:ascii="仿宋_GB2312" w:hAnsi="仿宋" w:eastAsia="仿宋_GB2312" w:cs="宋体"/>
          <w:color w:val="000000"/>
          <w:kern w:val="0"/>
          <w:sz w:val="32"/>
          <w:szCs w:val="32"/>
        </w:rPr>
        <w:t>基本公共服务（A）、社会管理性服</w:t>
      </w:r>
      <w:r>
        <w:rPr>
          <w:rFonts w:hint="eastAsia" w:ascii="仿宋_GB2312" w:hAnsi="仿宋" w:eastAsia="仿宋_GB2312" w:cs="宋体"/>
          <w:kern w:val="0"/>
          <w:sz w:val="32"/>
          <w:szCs w:val="32"/>
        </w:rPr>
        <w:t>务（B）项目依据本年度拟实施项目的服务人群、服务内容和区域、服务人数、服务次数以及服务标准等因素进行综合考量，确定本年度每个项目的资金额度。</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八、购买程序</w:t>
      </w:r>
    </w:p>
    <w:p>
      <w:pPr>
        <w:spacing w:line="560" w:lineRule="exact"/>
        <w:ind w:firstLine="643" w:firstLineChars="200"/>
        <w:jc w:val="left"/>
        <w:rPr>
          <w:rFonts w:ascii="仿宋_GB2312" w:hAnsi="仿宋" w:eastAsia="仿宋_GB2312"/>
          <w:sz w:val="32"/>
          <w:szCs w:val="32"/>
        </w:rPr>
      </w:pPr>
      <w:r>
        <w:rPr>
          <w:rFonts w:hint="eastAsia" w:ascii="楷体" w:hAnsi="楷体" w:eastAsia="楷体"/>
          <w:b/>
          <w:sz w:val="32"/>
          <w:szCs w:val="32"/>
        </w:rPr>
        <w:t>（一）发布通知。</w:t>
      </w:r>
      <w:r>
        <w:rPr>
          <w:rFonts w:hint="eastAsia" w:ascii="仿宋_GB2312" w:hAnsi="仿宋" w:eastAsia="仿宋_GB2312" w:cs="宋体"/>
          <w:kern w:val="0"/>
          <w:sz w:val="32"/>
          <w:szCs w:val="32"/>
        </w:rPr>
        <w:t>省民政厅规划财务处向厅机关相关业务处室（局）发布厅本级福利彩票公益金向社会组织购买服务项目征集通知。</w:t>
      </w:r>
    </w:p>
    <w:p>
      <w:pPr>
        <w:spacing w:line="560" w:lineRule="exact"/>
        <w:ind w:firstLine="643" w:firstLineChars="200"/>
        <w:jc w:val="left"/>
        <w:rPr>
          <w:rFonts w:ascii="仿宋_GB2312" w:hAnsi="仿宋" w:eastAsia="仿宋_GB2312"/>
          <w:sz w:val="32"/>
          <w:szCs w:val="32"/>
        </w:rPr>
      </w:pPr>
      <w:r>
        <w:rPr>
          <w:rFonts w:hint="eastAsia" w:ascii="楷体" w:hAnsi="楷体" w:eastAsia="楷体"/>
          <w:b/>
          <w:sz w:val="32"/>
          <w:szCs w:val="32"/>
        </w:rPr>
        <w:t>（二）项目申报。</w:t>
      </w:r>
      <w:r>
        <w:rPr>
          <w:rFonts w:hint="eastAsia" w:ascii="仿宋_GB2312" w:hAnsi="仿宋" w:eastAsia="仿宋_GB2312"/>
          <w:sz w:val="32"/>
          <w:szCs w:val="32"/>
        </w:rPr>
        <w:t>厅机关相关业务处室（局）按照彩票公益金“扶老、助残、救孤、济困”的发行宗旨和本方案中关于购买服务内容及范围的相关规定，结合业务实际需求，拟定需要购买的项目，并附简要说明材料（包含项目数量、项目类别、项目内容、实施范围、预算额度等）报省厅规划财务处。厅规划财务处对申报项目可行性、必要性进行复审，审核通过后，形成《2021年度青海省民政厅向社会组织购买社会服务项目实施计划》并报厅党组会议研究。对研究确定拟实施的项目，省民政厅向全省社会组织发布项目申报通知，进行公开项目申报。项目申报单位认真填写</w:t>
      </w:r>
      <w:r>
        <w:rPr>
          <w:rFonts w:hint="eastAsia" w:ascii="仿宋_GB2312" w:hAnsi="仿宋" w:eastAsia="仿宋_GB2312"/>
          <w:color w:val="000000"/>
          <w:sz w:val="32"/>
          <w:szCs w:val="32"/>
        </w:rPr>
        <w:t>《2021年青海省民政厅向社会组织购买社会服务项目申报书》（以下简称《申报书》），</w:t>
      </w:r>
      <w:r>
        <w:rPr>
          <w:rFonts w:hint="eastAsia" w:ascii="仿宋_GB2312" w:hAnsi="仿宋" w:eastAsia="仿宋_GB2312"/>
          <w:sz w:val="32"/>
          <w:szCs w:val="32"/>
        </w:rPr>
        <w:t>各社会组织的资格条件和项目申报书等相关资料按照相关程序报省民政厅审核。</w:t>
      </w:r>
    </w:p>
    <w:p>
      <w:pPr>
        <w:widowControl/>
        <w:spacing w:line="560" w:lineRule="exact"/>
        <w:ind w:firstLine="643" w:firstLineChars="200"/>
        <w:rPr>
          <w:rFonts w:ascii="仿宋_GB2312" w:hAnsi="仿宋" w:eastAsia="仿宋_GB2312" w:cs="Helvetica"/>
          <w:color w:val="000000"/>
          <w:kern w:val="0"/>
          <w:sz w:val="32"/>
          <w:szCs w:val="32"/>
        </w:rPr>
      </w:pPr>
      <w:r>
        <w:rPr>
          <w:rFonts w:hint="eastAsia" w:ascii="楷体" w:hAnsi="楷体" w:eastAsia="楷体"/>
          <w:b/>
          <w:sz w:val="32"/>
          <w:szCs w:val="32"/>
        </w:rPr>
        <w:t>（三）项目立项。</w:t>
      </w:r>
      <w:r>
        <w:rPr>
          <w:rFonts w:hint="eastAsia" w:ascii="仿宋_GB2312" w:hAnsi="仿宋" w:eastAsia="仿宋_GB2312"/>
          <w:sz w:val="32"/>
          <w:szCs w:val="32"/>
        </w:rPr>
        <w:t>厅机关相关业务处室（局）对社会组织报送的材料进行初审把关，组织厅本级福利彩票公益金项目专家对申报的项目进行评审，并将审核通过的社会组织的相关材料以及专家评审结论报厅规划财务处进行复审。对于复审通过的项目，</w:t>
      </w:r>
      <w:r>
        <w:rPr>
          <w:rFonts w:hint="eastAsia" w:ascii="仿宋_GB2312" w:hAnsi="仿宋" w:eastAsia="仿宋_GB2312" w:cs="Helvetica"/>
          <w:color w:val="000000"/>
          <w:kern w:val="0"/>
          <w:sz w:val="32"/>
          <w:szCs w:val="32"/>
        </w:rPr>
        <w:t>厅规划财务处将项目名单和资金额度报省民政厅党组会议研究确定是否立项。</w:t>
      </w:r>
    </w:p>
    <w:p>
      <w:pPr>
        <w:widowControl/>
        <w:spacing w:line="560" w:lineRule="exact"/>
        <w:ind w:firstLine="643" w:firstLineChars="200"/>
        <w:rPr>
          <w:rFonts w:ascii="仿宋_GB2312" w:hAnsi="仿宋" w:eastAsia="仿宋_GB2312"/>
          <w:sz w:val="32"/>
        </w:rPr>
      </w:pPr>
      <w:r>
        <w:rPr>
          <w:rFonts w:hint="eastAsia" w:ascii="楷体" w:hAnsi="楷体" w:eastAsia="楷体"/>
          <w:b/>
          <w:sz w:val="32"/>
          <w:szCs w:val="32"/>
        </w:rPr>
        <w:t>（四）确定承接主体。</w:t>
      </w:r>
      <w:r>
        <w:rPr>
          <w:rFonts w:hint="eastAsia" w:ascii="仿宋_GB2312" w:hAnsi="仿宋" w:eastAsia="仿宋_GB2312"/>
          <w:sz w:val="32"/>
        </w:rPr>
        <w:t>对确定立项实施的项目，采用政府采购方式,通过公开招标、邀请招标、竞争性谈判、竞争性磋商、单一来源采购、自行采购等方式确定承接主体。同等条件下，建立了党组织或获得3A以上评估等级的社会组织优先考虑。</w:t>
      </w:r>
      <w:r>
        <w:rPr>
          <w:rFonts w:hint="eastAsia" w:ascii="仿宋_GB2312" w:hAnsi="仿宋" w:eastAsia="仿宋_GB2312"/>
          <w:sz w:val="32"/>
          <w:szCs w:val="32"/>
        </w:rPr>
        <w:t>以前年度参与社会服务项目在审计中绩效考评结果不合格或存在重大问题的以及上一年度年检基本合格或不合格的社会组织不得承接。</w:t>
      </w:r>
    </w:p>
    <w:p>
      <w:pPr>
        <w:adjustRightInd w:val="0"/>
        <w:snapToGrid w:val="0"/>
        <w:spacing w:line="560" w:lineRule="exact"/>
        <w:ind w:firstLine="643" w:firstLineChars="200"/>
        <w:rPr>
          <w:rFonts w:ascii="仿宋_GB2312" w:hAnsi="仿宋" w:eastAsia="仿宋_GB2312"/>
          <w:sz w:val="32"/>
          <w:szCs w:val="32"/>
        </w:rPr>
      </w:pPr>
      <w:r>
        <w:rPr>
          <w:rFonts w:hint="eastAsia" w:ascii="楷体" w:hAnsi="楷体" w:eastAsia="楷体"/>
          <w:b/>
          <w:sz w:val="32"/>
          <w:szCs w:val="32"/>
        </w:rPr>
        <w:t>（五）公开公示。</w:t>
      </w:r>
      <w:r>
        <w:rPr>
          <w:rFonts w:hint="eastAsia" w:ascii="仿宋_GB2312" w:hAnsi="仿宋" w:eastAsia="仿宋_GB2312"/>
          <w:sz w:val="32"/>
          <w:szCs w:val="32"/>
        </w:rPr>
        <w:t>对通过政府采购确定的购买服务项目，招标代理机构将在政府采购网站上向社会公告，公示期为2个工作日，公示结束后报省财政厅备案。</w:t>
      </w:r>
    </w:p>
    <w:p>
      <w:pPr>
        <w:spacing w:line="560" w:lineRule="exact"/>
        <w:ind w:firstLine="643" w:firstLineChars="200"/>
        <w:rPr>
          <w:rFonts w:ascii="仿宋_GB2312" w:hAnsi="仿宋" w:eastAsia="仿宋_GB2312"/>
          <w:color w:val="000000"/>
          <w:sz w:val="32"/>
          <w:szCs w:val="32"/>
        </w:rPr>
      </w:pPr>
      <w:r>
        <w:rPr>
          <w:rFonts w:hint="eastAsia" w:ascii="楷体" w:hAnsi="楷体" w:eastAsia="楷体"/>
          <w:b/>
          <w:sz w:val="32"/>
          <w:szCs w:val="32"/>
        </w:rPr>
        <w:t>（六）合同签订。</w:t>
      </w:r>
      <w:r>
        <w:rPr>
          <w:rFonts w:hint="eastAsia" w:ascii="仿宋_GB2312" w:hAnsi="仿宋" w:eastAsia="仿宋_GB2312"/>
          <w:color w:val="000000"/>
          <w:sz w:val="32"/>
          <w:szCs w:val="32"/>
        </w:rPr>
        <w:t>公示无异议，</w:t>
      </w:r>
      <w:r>
        <w:rPr>
          <w:rFonts w:hint="eastAsia" w:ascii="仿宋_GB2312" w:hAnsi="仿宋" w:eastAsia="仿宋_GB2312" w:cs="宋体"/>
          <w:kern w:val="0"/>
          <w:sz w:val="32"/>
          <w:szCs w:val="32"/>
        </w:rPr>
        <w:t>省民政厅</w:t>
      </w:r>
      <w:r>
        <w:rPr>
          <w:rFonts w:hint="eastAsia" w:ascii="仿宋_GB2312" w:hAnsi="仿宋" w:eastAsia="仿宋_GB2312"/>
          <w:color w:val="000000"/>
          <w:sz w:val="32"/>
          <w:szCs w:val="32"/>
        </w:rPr>
        <w:t>与承接主体签订合同，明确双方的权利义务和违约责任等内容。</w:t>
      </w:r>
    </w:p>
    <w:p>
      <w:pPr>
        <w:spacing w:line="560" w:lineRule="exact"/>
        <w:ind w:firstLine="643" w:firstLineChars="200"/>
        <w:rPr>
          <w:rFonts w:ascii="仿宋_GB2312" w:hAnsi="仿宋" w:eastAsia="仿宋_GB2312"/>
          <w:color w:val="000000"/>
          <w:sz w:val="32"/>
          <w:szCs w:val="32"/>
        </w:rPr>
      </w:pPr>
      <w:r>
        <w:rPr>
          <w:rFonts w:hint="eastAsia" w:ascii="楷体" w:hAnsi="楷体" w:eastAsia="楷体"/>
          <w:b/>
          <w:sz w:val="32"/>
          <w:szCs w:val="32"/>
        </w:rPr>
        <w:t>（七）组织实施。</w:t>
      </w:r>
      <w:r>
        <w:rPr>
          <w:rFonts w:hint="eastAsia" w:ascii="仿宋_GB2312" w:hAnsi="仿宋" w:eastAsia="仿宋_GB2312"/>
          <w:color w:val="000000"/>
          <w:sz w:val="32"/>
          <w:szCs w:val="32"/>
        </w:rPr>
        <w:t>合同签订后，即可组织实施。按照“谁申报谁负责”的原则，省民政厅各相关业务处室（局）根据项目实施内容、实际需求以及项目执行相关要求等对承接主体进行培训，指导其开展工作，并对项目实施进行全程督导和检查，适时会同省财政厅组织开展项目中期评估、终期绩效评价以及审计等相关工作。</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九、项目执行</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（一）实施期限</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自合同签订之日起1年内完成。</w:t>
      </w:r>
    </w:p>
    <w:p>
      <w:pPr>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（二）资金管理</w:t>
      </w:r>
    </w:p>
    <w:p>
      <w:pPr>
        <w:widowControl/>
        <w:spacing w:line="56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sz w:val="32"/>
          <w:szCs w:val="32"/>
        </w:rPr>
        <w:t>1.</w:t>
      </w:r>
      <w:r>
        <w:rPr>
          <w:rFonts w:hint="eastAsia" w:ascii="仿宋_GB2312" w:hAnsi="仿宋" w:eastAsia="仿宋_GB2312" w:cs="Helvetica"/>
          <w:color w:val="000000"/>
          <w:kern w:val="0"/>
          <w:sz w:val="32"/>
          <w:szCs w:val="32"/>
        </w:rPr>
        <w:t>项目资金的使用应符合</w:t>
      </w:r>
      <w:r>
        <w:rPr>
          <w:rFonts w:hint="eastAsia" w:ascii="仿宋_GB2312" w:hAnsi="仿宋" w:eastAsia="仿宋_GB2312"/>
          <w:sz w:val="32"/>
          <w:szCs w:val="32"/>
        </w:rPr>
        <w:t>福利彩票公益金发行宗旨，且</w:t>
      </w:r>
      <w:r>
        <w:rPr>
          <w:rFonts w:hint="eastAsia" w:ascii="仿宋_GB2312" w:hAnsi="仿宋" w:eastAsia="仿宋_GB2312" w:cs="Helvetica"/>
          <w:color w:val="000000"/>
          <w:kern w:val="0"/>
          <w:sz w:val="32"/>
          <w:szCs w:val="32"/>
        </w:rPr>
        <w:t>全部用于开展社会服务活动项目。资金使用和支出要厉行勤俭节约，力争做到经济、合理、高效。</w:t>
      </w:r>
    </w:p>
    <w:p>
      <w:pPr>
        <w:pStyle w:val="2"/>
        <w:shd w:val="clear" w:color="auto" w:fill="FFFFFF"/>
        <w:spacing w:line="560" w:lineRule="exact"/>
        <w:ind w:firstLine="640" w:firstLineChars="200"/>
        <w:rPr>
          <w:rFonts w:ascii="仿宋_GB2312" w:hAnsi="仿宋" w:eastAsia="仿宋_GB2312" w:cs="Helvetica"/>
          <w:color w:val="000000"/>
          <w:sz w:val="32"/>
          <w:szCs w:val="32"/>
        </w:rPr>
      </w:pPr>
      <w:r>
        <w:rPr>
          <w:rFonts w:hint="eastAsia" w:ascii="仿宋_GB2312" w:hAnsi="仿宋" w:eastAsia="仿宋_GB2312"/>
          <w:sz w:val="32"/>
          <w:szCs w:val="32"/>
        </w:rPr>
        <w:t>2.项目资金要严格按照</w:t>
      </w:r>
      <w:r>
        <w:rPr>
          <w:rFonts w:hint="eastAsia" w:ascii="仿宋_GB2312" w:hAnsi="仿宋" w:eastAsia="仿宋_GB2312" w:cs="Helvetica"/>
          <w:color w:val="000000"/>
          <w:sz w:val="32"/>
          <w:szCs w:val="32"/>
        </w:rPr>
        <w:t>《</w:t>
      </w:r>
      <w:r>
        <w:rPr>
          <w:rFonts w:hint="eastAsia" w:ascii="仿宋_GB2312" w:hAnsi="仿宋" w:eastAsia="仿宋_GB2312"/>
          <w:sz w:val="32"/>
          <w:szCs w:val="32"/>
        </w:rPr>
        <w:t>2021年青海省民政厅向社会组织购买社会服务项目</w:t>
      </w:r>
      <w:r>
        <w:rPr>
          <w:rFonts w:hint="eastAsia" w:ascii="仿宋_GB2312" w:hAnsi="仿宋" w:eastAsia="仿宋_GB2312" w:cs="Helvetica"/>
          <w:color w:val="000000"/>
          <w:sz w:val="32"/>
          <w:szCs w:val="32"/>
        </w:rPr>
        <w:t>财务指引》</w:t>
      </w:r>
      <w:r>
        <w:rPr>
          <w:rFonts w:hint="eastAsia" w:ascii="仿宋_GB2312" w:hAnsi="仿宋" w:eastAsia="仿宋_GB2312"/>
          <w:sz w:val="32"/>
          <w:szCs w:val="32"/>
        </w:rPr>
        <w:t>的要求执行，遵循“专款专用、单独核算、注重绩效”的原则，</w:t>
      </w:r>
      <w:r>
        <w:rPr>
          <w:rFonts w:hint="eastAsia" w:ascii="仿宋_GB2312" w:hAnsi="仿宋" w:eastAsia="仿宋_GB2312" w:cs="Helvetica"/>
          <w:color w:val="000000"/>
          <w:sz w:val="32"/>
          <w:szCs w:val="32"/>
        </w:rPr>
        <w:t>及时建立健全内控制度、专项财务管理和会计核算制度。</w:t>
      </w:r>
    </w:p>
    <w:p>
      <w:pPr>
        <w:spacing w:line="560" w:lineRule="exact"/>
        <w:rPr>
          <w:rFonts w:ascii="仿宋_GB2312" w:hAnsi="仿宋" w:eastAsia="仿宋_GB2312"/>
          <w:szCs w:val="20"/>
        </w:rPr>
      </w:pPr>
      <w:r>
        <w:rPr>
          <w:rFonts w:hint="eastAsia" w:ascii="仿宋_GB2312" w:hAnsi="仿宋" w:eastAsia="仿宋_GB2312" w:cs="Helvetica"/>
          <w:color w:val="000000"/>
          <w:kern w:val="0"/>
          <w:sz w:val="32"/>
          <w:szCs w:val="32"/>
        </w:rPr>
        <w:t xml:space="preserve">    3.严格按照《项目申报书》中申报的资金用途进行使用，不得以任何形式挤占、截留、挪用项目资金，确保项目资金绝对安全。</w:t>
      </w:r>
    </w:p>
    <w:p>
      <w:pPr>
        <w:spacing w:line="560" w:lineRule="exact"/>
        <w:jc w:val="left"/>
        <w:rPr>
          <w:rFonts w:ascii="楷体" w:hAnsi="楷体" w:eastAsia="楷体"/>
          <w:b/>
          <w:sz w:val="32"/>
          <w:szCs w:val="32"/>
        </w:rPr>
      </w:pPr>
      <w:r>
        <w:rPr>
          <w:rFonts w:hint="eastAsia" w:ascii="楷体" w:hAnsi="楷体" w:eastAsia="楷体"/>
          <w:b/>
          <w:sz w:val="32"/>
          <w:szCs w:val="32"/>
        </w:rPr>
        <w:t xml:space="preserve">    （三）执行要求。</w:t>
      </w:r>
    </w:p>
    <w:p>
      <w:pPr>
        <w:spacing w:line="560" w:lineRule="exact"/>
        <w:ind w:firstLine="640" w:firstLineChars="200"/>
        <w:rPr>
          <w:rFonts w:ascii="仿宋_GB2312" w:hAnsi="仿宋" w:eastAsia="仿宋_GB2312"/>
          <w:bCs/>
          <w:color w:val="000000"/>
          <w:sz w:val="32"/>
          <w:szCs w:val="32"/>
        </w:rPr>
      </w:pPr>
      <w:r>
        <w:rPr>
          <w:rFonts w:hint="eastAsia" w:ascii="仿宋_GB2312" w:hAnsi="仿宋" w:eastAsia="仿宋_GB2312" w:cs="Helvetica"/>
          <w:color w:val="000000"/>
          <w:kern w:val="0"/>
          <w:sz w:val="32"/>
          <w:szCs w:val="32"/>
        </w:rPr>
        <w:t>1.承接主体必须遵守相关承诺，履行合同约定义务，按期完成。除不可抗力因素外，均应在规定期限内完成。无特殊情况不得调整，如遇特殊原因需要终止、撤销、变更的，须按程序报批，</w:t>
      </w:r>
      <w:r>
        <w:rPr>
          <w:rFonts w:hint="eastAsia" w:ascii="仿宋_GB2312" w:hAnsi="仿宋" w:eastAsia="仿宋_GB2312"/>
          <w:bCs/>
          <w:color w:val="000000"/>
          <w:sz w:val="32"/>
          <w:szCs w:val="32"/>
        </w:rPr>
        <w:t>否则视为违约，不予支付剩余项目资金，并取消下一年度申报资格。</w:t>
      </w:r>
    </w:p>
    <w:p>
      <w:pPr>
        <w:widowControl/>
        <w:spacing w:line="56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sz w:val="32"/>
          <w:szCs w:val="32"/>
        </w:rPr>
        <w:t>2.</w:t>
      </w:r>
      <w:r>
        <w:rPr>
          <w:rFonts w:hint="eastAsia" w:ascii="仿宋_GB2312" w:hAnsi="仿宋" w:eastAsia="仿宋_GB2312" w:cs="Helvetica"/>
          <w:color w:val="000000"/>
          <w:kern w:val="0"/>
          <w:sz w:val="32"/>
          <w:szCs w:val="32"/>
        </w:rPr>
        <w:t>承接主体应加强自身能力建设，规范项目的执行，不得将项目转包、分包给其他组织实施。更不得将项目委托给社会组织负责人、分支机构负责人、与员工有直接利益关系的组织或个人合作开展。</w:t>
      </w:r>
    </w:p>
    <w:p>
      <w:pPr>
        <w:widowControl/>
        <w:spacing w:line="56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3.承接主体应坚持公开、公正、公平和诚实信用的原则，对服务对象进行筛选，妥善保管服务对象筛选资料，必要时在一定范围内进行公示，确保所筛选的服务对象符合项目资金使用方向。</w:t>
      </w:r>
    </w:p>
    <w:p>
      <w:pPr>
        <w:widowControl/>
        <w:spacing w:line="56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4.承接主体应当接受资助主体和财政、审计、纪检等部门的监督，配合审计、社会评估和财政支出绩效评价。</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十、项目监管</w:t>
      </w:r>
    </w:p>
    <w:p>
      <w:pPr>
        <w:spacing w:line="560" w:lineRule="exact"/>
        <w:ind w:firstLine="643" w:firstLineChars="200"/>
        <w:jc w:val="left"/>
        <w:rPr>
          <w:rFonts w:ascii="仿宋_GB2312" w:hAnsi="仿宋" w:eastAsia="仿宋_GB2312"/>
          <w:b/>
          <w:sz w:val="32"/>
          <w:szCs w:val="32"/>
        </w:rPr>
      </w:pPr>
      <w:r>
        <w:rPr>
          <w:rFonts w:hint="eastAsia" w:ascii="楷体" w:hAnsi="楷体" w:eastAsia="楷体"/>
          <w:b/>
          <w:sz w:val="32"/>
          <w:szCs w:val="32"/>
        </w:rPr>
        <w:t>（一）定期督查。</w:t>
      </w:r>
      <w:r>
        <w:rPr>
          <w:rFonts w:hint="eastAsia" w:ascii="仿宋_GB2312" w:hAnsi="仿宋" w:eastAsia="仿宋_GB2312" w:cs="Helvetica"/>
          <w:color w:val="000000"/>
          <w:kern w:val="0"/>
          <w:sz w:val="32"/>
          <w:szCs w:val="32"/>
        </w:rPr>
        <w:t>省民政厅将按照财政部、民政部有关要求，会同省财政厅加强对项目承接主体的指导和监督，定期对各项目资金使用管理等情况进行检查，发现问题及时纠正，对承接主体有重大违规问题的终止合同并报社会组织登记管理部门依规进行处理。同时，适时委托第三方专业机构对项目实施和资金使用情况进行跟踪督导审计，规范项目实施和资金使用的监管。</w:t>
      </w:r>
    </w:p>
    <w:p>
      <w:pPr>
        <w:widowControl/>
        <w:spacing w:line="560" w:lineRule="exact"/>
        <w:ind w:firstLine="643" w:firstLineChars="200"/>
        <w:rPr>
          <w:rFonts w:ascii="仿宋_GB2312" w:hAnsi="仿宋" w:eastAsia="仿宋_GB2312" w:cs="Helvetica"/>
          <w:color w:val="000000"/>
          <w:kern w:val="0"/>
          <w:sz w:val="32"/>
          <w:szCs w:val="32"/>
        </w:rPr>
      </w:pPr>
      <w:r>
        <w:rPr>
          <w:rFonts w:hint="eastAsia" w:ascii="楷体" w:hAnsi="楷体" w:eastAsia="楷体"/>
          <w:b/>
          <w:sz w:val="32"/>
          <w:szCs w:val="32"/>
        </w:rPr>
        <w:t>（二）中期评估。</w:t>
      </w:r>
      <w:r>
        <w:rPr>
          <w:rFonts w:hint="eastAsia" w:ascii="仿宋_GB2312" w:hAnsi="仿宋" w:eastAsia="仿宋_GB2312" w:cs="Helvetica"/>
          <w:color w:val="000000"/>
          <w:kern w:val="0"/>
          <w:sz w:val="32"/>
          <w:szCs w:val="32"/>
        </w:rPr>
        <w:t>省民政厅会同省财政厅对项目执行情况进行中期评估，承接主体按要求报送项目管理和执行情况的中期评估报告。内容包括：项目基本情况、管理情况、执行情况、宣传情况、社会效益、自我评估等。</w:t>
      </w:r>
    </w:p>
    <w:p>
      <w:pPr>
        <w:widowControl/>
        <w:spacing w:line="560" w:lineRule="exact"/>
        <w:ind w:firstLine="643" w:firstLineChars="200"/>
        <w:rPr>
          <w:rFonts w:ascii="仿宋" w:hAnsi="仿宋" w:eastAsia="仿宋" w:cs="宋体"/>
          <w:color w:val="000000"/>
          <w:kern w:val="0"/>
          <w:sz w:val="32"/>
          <w:szCs w:val="32"/>
        </w:rPr>
      </w:pPr>
      <w:r>
        <w:rPr>
          <w:rFonts w:hint="eastAsia" w:ascii="楷体" w:hAnsi="楷体" w:eastAsia="楷体"/>
          <w:b/>
          <w:sz w:val="32"/>
          <w:szCs w:val="32"/>
        </w:rPr>
        <w:t>（三）终期绩效评价。</w:t>
      </w:r>
      <w:r>
        <w:rPr>
          <w:rFonts w:hint="eastAsia" w:ascii="仿宋_GB2312" w:hAnsi="仿宋" w:eastAsia="仿宋_GB2312" w:cs="宋体"/>
          <w:color w:val="000000"/>
          <w:kern w:val="0"/>
          <w:sz w:val="32"/>
          <w:szCs w:val="32"/>
        </w:rPr>
        <w:t>实施期满，省民政厅会同省财政厅委托第三方专业机构对项目进行全面评估和重点审计，项目绩效评估结果较差且存在违规行为的，将依据相关规定进行处理，情节严重的将收回项目资金并取消后续申报资格，并由登记管理机关给予当年年检不合格结论。</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十一、宣传总结</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承接主体应及时</w:t>
      </w:r>
      <w:r>
        <w:rPr>
          <w:rFonts w:hint="eastAsia" w:ascii="仿宋_GB2312" w:hAnsi="仿宋" w:eastAsia="仿宋_GB2312" w:cs="Helvetica"/>
          <w:color w:val="000000"/>
          <w:kern w:val="0"/>
          <w:sz w:val="32"/>
          <w:szCs w:val="32"/>
        </w:rPr>
        <w:t>通过广播、电视、报刊、网络等新闻媒体宣传项目的意义、资助内容、典型案例、项目开展情况及社会效益，引导社会组织参与社会服务，履行社会责任，为社会组织发挥积极作用创造良好的社会舆论氛围。</w:t>
      </w:r>
      <w:r>
        <w:rPr>
          <w:rFonts w:hint="eastAsia" w:ascii="仿宋_GB2312" w:hAnsi="仿宋" w:eastAsia="仿宋_GB2312"/>
          <w:sz w:val="32"/>
          <w:szCs w:val="32"/>
        </w:rPr>
        <w:t>同时，及时收集视频、音频素材、整理典型、感人事例，建立专门项目宣传档案。承接主体在开展项目宣传活动、印发资料及配发物品上必须标明 “彩票公益金资助-中国福利彩票”标识。</w:t>
      </w:r>
    </w:p>
    <w:p>
      <w:pPr>
        <w:spacing w:line="560" w:lineRule="exact"/>
        <w:ind w:left="638" w:leftChars="304" w:firstLine="640" w:firstLineChars="200"/>
        <w:jc w:val="left"/>
        <w:rPr>
          <w:rFonts w:ascii="仿宋_GB2312" w:hAnsi="仿宋" w:eastAsia="仿宋_GB2312"/>
          <w:sz w:val="32"/>
          <w:szCs w:val="32"/>
        </w:rPr>
      </w:pP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附件：</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1.2021年青海省民政厅向社会组织购买社会服务项目综合指导性目录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color w:val="000000"/>
          <w:sz w:val="32"/>
          <w:szCs w:val="32"/>
        </w:rPr>
        <w:t>2.</w:t>
      </w:r>
      <w:r>
        <w:rPr>
          <w:rFonts w:hint="eastAsia" w:ascii="仿宋_GB2312" w:hAnsi="仿宋" w:eastAsia="仿宋_GB2312"/>
          <w:sz w:val="32"/>
          <w:szCs w:val="32"/>
        </w:rPr>
        <w:t>2021年青海省民政厅向社会组织购买社会服务项目申报书</w:t>
      </w:r>
    </w:p>
    <w:p>
      <w:pPr>
        <w:keepNext w:val="0"/>
        <w:keepLines w:val="0"/>
        <w:pageBreakBefore w:val="0"/>
        <w:tabs>
          <w:tab w:val="left" w:pos="2100"/>
        </w:tabs>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color w:val="000000"/>
          <w:sz w:val="32"/>
          <w:szCs w:val="32"/>
        </w:rPr>
        <w:t>3.</w:t>
      </w:r>
      <w:r>
        <w:rPr>
          <w:rFonts w:hint="eastAsia" w:ascii="仿宋_GB2312" w:hAnsi="仿宋" w:eastAsia="仿宋_GB2312"/>
          <w:sz w:val="32"/>
          <w:szCs w:val="32"/>
        </w:rPr>
        <w:t>2021年青海省民政厅向社会组织购买社会服务项目财务指引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1"/>
        <w:rPr>
          <w:rFonts w:ascii="仿宋_GB2312" w:hAnsi="仿宋" w:eastAsia="仿宋_GB2312"/>
          <w:sz w:val="32"/>
          <w:szCs w:val="32"/>
        </w:rPr>
      </w:pPr>
      <w:r>
        <w:rPr>
          <w:rFonts w:hint="eastAsia" w:ascii="仿宋_GB2312" w:hAnsi="仿宋" w:eastAsia="仿宋_GB2312"/>
          <w:color w:val="000000"/>
          <w:sz w:val="32"/>
          <w:szCs w:val="32"/>
        </w:rPr>
        <w:t>4.</w:t>
      </w:r>
      <w:r>
        <w:rPr>
          <w:rFonts w:hint="eastAsia" w:ascii="仿宋_GB2312" w:hAnsi="仿宋" w:eastAsia="仿宋_GB2312"/>
          <w:sz w:val="32"/>
          <w:szCs w:val="32"/>
        </w:rPr>
        <w:t>2021年青海省民政厅向社会组织购买社会服务项目绩效评价工作方案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1"/>
        <w:rPr>
          <w:rFonts w:ascii="仿宋_GB2312" w:hAnsi="仿宋" w:eastAsia="仿宋_GB2312"/>
          <w:sz w:val="32"/>
          <w:szCs w:val="32"/>
        </w:rPr>
      </w:pPr>
      <w:r>
        <w:rPr>
          <w:rFonts w:hint="eastAsia" w:ascii="仿宋_GB2312" w:hAnsi="仿宋" w:eastAsia="仿宋_GB2312"/>
          <w:sz w:val="32"/>
          <w:szCs w:val="32"/>
        </w:rPr>
        <w:t>5.2021年青海省民政厅向社会组织购买社会服务项目资料清单</w:t>
      </w:r>
    </w:p>
    <w:p>
      <w:pPr>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ascii="仿宋_GB2312" w:hAnsi="仿宋" w:eastAsia="仿宋_GB2312"/>
          <w:color w:val="000000"/>
          <w:sz w:val="32"/>
          <w:szCs w:val="32"/>
        </w:rPr>
      </w:pPr>
    </w:p>
    <w:p>
      <w:pPr>
        <w:spacing w:line="600" w:lineRule="exact"/>
        <w:ind w:firstLine="4960" w:firstLineChars="1550"/>
        <w:jc w:val="left"/>
        <w:rPr>
          <w:rFonts w:ascii="仿宋_GB2312" w:hAnsi="仿宋" w:eastAsia="仿宋_GB2312"/>
          <w:color w:val="000000"/>
          <w:sz w:val="32"/>
          <w:szCs w:val="32"/>
        </w:rPr>
      </w:pPr>
    </w:p>
    <w:p>
      <w:pPr>
        <w:spacing w:line="600" w:lineRule="exact"/>
        <w:ind w:firstLine="4960" w:firstLineChars="1550"/>
        <w:jc w:val="left"/>
        <w:rPr>
          <w:rFonts w:ascii="仿宋_GB2312" w:hAnsi="仿宋" w:eastAsia="仿宋_GB2312"/>
          <w:color w:val="000000"/>
          <w:sz w:val="32"/>
          <w:szCs w:val="32"/>
        </w:rPr>
      </w:pPr>
    </w:p>
    <w:p>
      <w:pPr>
        <w:spacing w:line="600" w:lineRule="exact"/>
        <w:rPr>
          <w:rFonts w:ascii="仿宋_GB2312" w:hAnsi="仿宋" w:eastAsia="仿宋_GB2312"/>
          <w:color w:val="000000"/>
          <w:sz w:val="32"/>
          <w:szCs w:val="32"/>
        </w:rPr>
      </w:pPr>
    </w:p>
    <w:p>
      <w:pPr>
        <w:spacing w:line="600" w:lineRule="exact"/>
        <w:rPr>
          <w:rFonts w:ascii="仿宋_GB2312" w:hAnsi="仿宋" w:eastAsia="仿宋_GB2312"/>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40" w:lineRule="exact"/>
        <w:rPr>
          <w:rFonts w:ascii="仿宋_GB2312" w:hAnsi="黑体" w:eastAsia="仿宋_GB2312"/>
          <w:sz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ascii="黑体" w:hAnsi="黑体" w:eastAsia="黑体"/>
          <w:color w:val="000000"/>
          <w:sz w:val="32"/>
          <w:szCs w:val="32"/>
        </w:rPr>
      </w:pPr>
      <w:r>
        <w:rPr>
          <w:rFonts w:hint="eastAsia" w:ascii="黑体" w:hAnsi="黑体" w:eastAsia="黑体"/>
          <w:color w:val="000000"/>
          <w:sz w:val="32"/>
          <w:szCs w:val="32"/>
        </w:rPr>
        <w:t>附件1-1</w:t>
      </w:r>
    </w:p>
    <w:p>
      <w:pPr>
        <w:spacing w:line="600" w:lineRule="exact"/>
        <w:rPr>
          <w:rFonts w:ascii="仿宋" w:hAnsi="仿宋" w:eastAsia="仿宋"/>
          <w:color w:val="000000"/>
          <w:sz w:val="32"/>
          <w:szCs w:val="32"/>
        </w:rPr>
      </w:pPr>
    </w:p>
    <w:p>
      <w:pPr>
        <w:spacing w:line="60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2021年青海省民政厅向社会组织购买社会</w:t>
      </w:r>
    </w:p>
    <w:p>
      <w:pPr>
        <w:spacing w:line="60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服务项目综合指导性目录</w:t>
      </w:r>
    </w:p>
    <w:p>
      <w:pPr>
        <w:spacing w:line="600" w:lineRule="exact"/>
        <w:jc w:val="left"/>
        <w:rPr>
          <w:rFonts w:ascii="仿宋" w:hAnsi="仿宋" w:eastAsia="仿宋"/>
          <w:color w:val="000000"/>
          <w:sz w:val="32"/>
          <w:szCs w:val="32"/>
        </w:rPr>
      </w:pPr>
    </w:p>
    <w:tbl>
      <w:tblPr>
        <w:tblStyle w:val="3"/>
        <w:tblW w:w="8891" w:type="dxa"/>
        <w:jc w:val="center"/>
        <w:tblLayout w:type="autofit"/>
        <w:tblCellMar>
          <w:top w:w="0" w:type="dxa"/>
          <w:left w:w="108" w:type="dxa"/>
          <w:bottom w:w="0" w:type="dxa"/>
          <w:right w:w="108" w:type="dxa"/>
        </w:tblCellMar>
      </w:tblPr>
      <w:tblGrid>
        <w:gridCol w:w="1482"/>
        <w:gridCol w:w="1688"/>
        <w:gridCol w:w="3414"/>
        <w:gridCol w:w="2307"/>
      </w:tblGrid>
      <w:tr>
        <w:tblPrEx>
          <w:tblCellMar>
            <w:top w:w="0" w:type="dxa"/>
            <w:left w:w="108" w:type="dxa"/>
            <w:bottom w:w="0" w:type="dxa"/>
            <w:right w:w="108" w:type="dxa"/>
          </w:tblCellMar>
        </w:tblPrEx>
        <w:trPr>
          <w:trHeight w:val="383" w:hRule="atLeast"/>
          <w:jc w:val="center"/>
        </w:trPr>
        <w:tc>
          <w:tcPr>
            <w:tcW w:w="14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color w:val="000000"/>
                <w:kern w:val="0"/>
                <w:sz w:val="22"/>
              </w:rPr>
            </w:pPr>
            <w:r>
              <w:rPr>
                <w:rFonts w:hint="eastAsia" w:ascii="宋体" w:hAnsi="宋体" w:cs="宋体"/>
                <w:b/>
                <w:bCs/>
                <w:color w:val="000000"/>
                <w:kern w:val="0"/>
                <w:sz w:val="22"/>
              </w:rPr>
              <w:t>一级目录</w:t>
            </w:r>
          </w:p>
        </w:tc>
        <w:tc>
          <w:tcPr>
            <w:tcW w:w="168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color w:val="000000"/>
                <w:kern w:val="0"/>
                <w:sz w:val="22"/>
              </w:rPr>
            </w:pPr>
            <w:r>
              <w:rPr>
                <w:rFonts w:hint="eastAsia" w:ascii="宋体" w:hAnsi="宋体" w:cs="宋体"/>
                <w:b/>
                <w:bCs/>
                <w:color w:val="000000"/>
                <w:kern w:val="0"/>
                <w:sz w:val="22"/>
              </w:rPr>
              <w:t>二级目录</w:t>
            </w:r>
          </w:p>
        </w:tc>
        <w:tc>
          <w:tcPr>
            <w:tcW w:w="341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color w:val="000000"/>
                <w:kern w:val="0"/>
                <w:sz w:val="22"/>
              </w:rPr>
            </w:pPr>
            <w:r>
              <w:rPr>
                <w:rFonts w:hint="eastAsia" w:ascii="宋体" w:hAnsi="宋体" w:cs="宋体"/>
                <w:b/>
                <w:bCs/>
                <w:color w:val="000000"/>
                <w:kern w:val="0"/>
                <w:sz w:val="22"/>
              </w:rPr>
              <w:t>三级目录</w:t>
            </w:r>
          </w:p>
        </w:tc>
        <w:tc>
          <w:tcPr>
            <w:tcW w:w="230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color w:val="000000"/>
                <w:kern w:val="0"/>
                <w:sz w:val="22"/>
              </w:rPr>
            </w:pPr>
            <w:r>
              <w:rPr>
                <w:rFonts w:hint="eastAsia" w:ascii="宋体" w:hAnsi="宋体" w:cs="宋体"/>
                <w:b/>
                <w:bCs/>
                <w:color w:val="000000"/>
                <w:kern w:val="0"/>
                <w:sz w:val="22"/>
              </w:rPr>
              <w:t>备注</w:t>
            </w:r>
          </w:p>
        </w:tc>
      </w:tr>
      <w:tr>
        <w:tblPrEx>
          <w:tblCellMar>
            <w:top w:w="0" w:type="dxa"/>
            <w:left w:w="108" w:type="dxa"/>
            <w:bottom w:w="0" w:type="dxa"/>
            <w:right w:w="108" w:type="dxa"/>
          </w:tblCellMar>
        </w:tblPrEx>
        <w:trPr>
          <w:trHeight w:val="572" w:hRule="atLeast"/>
          <w:jc w:val="center"/>
        </w:trPr>
        <w:tc>
          <w:tcPr>
            <w:tcW w:w="14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基本公共服务（A）</w:t>
            </w:r>
          </w:p>
        </w:tc>
        <w:tc>
          <w:tcPr>
            <w:tcW w:w="16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残疾人福利（A09）</w:t>
            </w: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精神障碍社区康复服务（A0901）</w:t>
            </w:r>
          </w:p>
        </w:tc>
        <w:tc>
          <w:tcPr>
            <w:tcW w:w="230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困难残疾人托养照护服务（A0902）</w:t>
            </w:r>
          </w:p>
        </w:tc>
        <w:tc>
          <w:tcPr>
            <w:tcW w:w="23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22"/>
              </w:rPr>
            </w:pP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康复辅具社区租赁服务（A0903)</w:t>
            </w:r>
          </w:p>
        </w:tc>
        <w:tc>
          <w:tcPr>
            <w:tcW w:w="23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22"/>
              </w:rPr>
            </w:pP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其他基本公共服务（A26)</w:t>
            </w: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基本殡葬公共服务（A2601）</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困难群众遗体接运、暂存、火化、骨灰寄存</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专业婚姻家庭辅导（A2602）</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儿童收养评估服务（A2603)</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农村留守儿童关爱服务（A2604)</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儿童福利机构购买困境儿童保障服务（A2605)</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宋体" w:hAnsi="宋体" w:cs="宋体"/>
                <w:color w:val="000000"/>
                <w:kern w:val="0"/>
                <w:sz w:val="22"/>
              </w:rPr>
            </w:pPr>
            <w:r>
              <w:rPr>
                <w:rFonts w:hint="eastAsia" w:ascii="宋体" w:hAnsi="宋体" w:cs="宋体"/>
                <w:color w:val="000000"/>
                <w:kern w:val="0"/>
                <w:sz w:val="22"/>
              </w:rPr>
              <w:t>社会管理性服务（B）</w:t>
            </w:r>
          </w:p>
        </w:tc>
        <w:tc>
          <w:tcPr>
            <w:tcW w:w="168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22"/>
              </w:rPr>
            </w:pPr>
            <w:r>
              <w:rPr>
                <w:rFonts w:hint="eastAsia" w:ascii="宋体" w:hAnsi="宋体" w:cs="宋体"/>
                <w:color w:val="000000"/>
                <w:kern w:val="0"/>
                <w:sz w:val="22"/>
              </w:rPr>
              <w:t>社区建设（B01)</w:t>
            </w:r>
          </w:p>
        </w:tc>
        <w:tc>
          <w:tcPr>
            <w:tcW w:w="341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村（社区）减负服务(B0101)</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rPr>
                <w:rFonts w:ascii="宋体" w:hAnsi="宋体" w:cs="宋体"/>
                <w:color w:val="000000"/>
                <w:kern w:val="0"/>
                <w:sz w:val="22"/>
              </w:rPr>
            </w:pPr>
            <w:r>
              <w:rPr>
                <w:rFonts w:hint="eastAsia" w:ascii="宋体" w:hAnsi="宋体" w:cs="宋体"/>
                <w:color w:val="000000"/>
                <w:kern w:val="0"/>
                <w:sz w:val="22"/>
              </w:rPr>
              <w:t>开展民政服务领域的减负服务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restart"/>
            <w:tcBorders>
              <w:top w:val="nil"/>
              <w:left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社会组织建设与管理（B02）</w:t>
            </w: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公益类社会组织等级评估服务（B0201）</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公益类社会组织年检资料初审、发展咨询服务（B0202））</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公益类社会组织发展数据统计、发布（B0203）</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省民政厅直属公益类社会组织党支部党建指导服务（B0204）</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社会工作服务（B03）</w:t>
            </w: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专业社会工作与志愿服务（B0301）</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社会工作专业人才与志愿者队伍建设服务（B0302）</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慈善事业服务（B0303）</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72" w:hRule="atLeast"/>
          <w:jc w:val="center"/>
        </w:trPr>
        <w:tc>
          <w:tcPr>
            <w:tcW w:w="14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168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rPr>
            </w:pPr>
          </w:p>
        </w:tc>
        <w:tc>
          <w:tcPr>
            <w:tcW w:w="341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乡村振兴服务（B0304）</w:t>
            </w:r>
          </w:p>
        </w:tc>
        <w:tc>
          <w:tcPr>
            <w:tcW w:w="230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　</w:t>
            </w:r>
          </w:p>
        </w:tc>
      </w:tr>
    </w:tbl>
    <w:p>
      <w:pPr>
        <w:spacing w:line="600" w:lineRule="exact"/>
        <w:jc w:val="left"/>
        <w:rPr>
          <w:rFonts w:hint="eastAsia" w:ascii="黑体" w:hAnsi="黑体" w:eastAsia="黑体"/>
          <w:color w:val="000000"/>
          <w:sz w:val="32"/>
          <w:szCs w:val="32"/>
        </w:rPr>
      </w:pPr>
    </w:p>
    <w:p>
      <w:pPr>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附件1-2</w:t>
      </w:r>
    </w:p>
    <w:p>
      <w:pPr>
        <w:spacing w:line="600" w:lineRule="exact"/>
        <w:jc w:val="center"/>
        <w:rPr>
          <w:rFonts w:ascii="宋体" w:hAnsi="宋体" w:cs="方正小标宋简体"/>
          <w:b/>
          <w:color w:val="000000"/>
          <w:sz w:val="44"/>
          <w:szCs w:val="44"/>
        </w:rPr>
      </w:pP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2021年青海省民政厅向社会组织购买</w:t>
      </w: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社会服务项目申报书</w:t>
      </w:r>
    </w:p>
    <w:p>
      <w:pPr>
        <w:spacing w:line="600" w:lineRule="exac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黑体" w:hAnsi="黑体" w:eastAsia="黑体"/>
          <w:color w:val="000000"/>
          <w:sz w:val="44"/>
          <w:szCs w:val="44"/>
        </w:rPr>
      </w:pPr>
    </w:p>
    <w:p>
      <w:pPr>
        <w:spacing w:line="600" w:lineRule="exact"/>
        <w:jc w:val="center"/>
        <w:rPr>
          <w:rFonts w:ascii="黑体" w:hAnsi="黑体" w:eastAsia="黑体"/>
          <w:color w:val="000000"/>
          <w:sz w:val="44"/>
          <w:szCs w:val="44"/>
        </w:rPr>
      </w:pPr>
      <w:r>
        <w:rPr>
          <w:rFonts w:hint="eastAsia" w:ascii="黑体" w:hAnsi="黑体" w:eastAsia="黑体"/>
          <w:bCs/>
          <w:color w:val="000000"/>
          <w:sz w:val="44"/>
          <w:szCs w:val="44"/>
        </w:rPr>
        <w:t>青海省民政厅</w:t>
      </w: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tabs>
          <w:tab w:val="left" w:pos="2910"/>
        </w:tabs>
        <w:spacing w:line="480" w:lineRule="exact"/>
        <w:jc w:val="center"/>
        <w:rPr>
          <w:rFonts w:ascii="黑体" w:hAnsi="黑体" w:eastAsia="黑体"/>
          <w:sz w:val="32"/>
        </w:rPr>
      </w:pPr>
    </w:p>
    <w:p>
      <w:pPr>
        <w:tabs>
          <w:tab w:val="left" w:pos="2910"/>
        </w:tabs>
        <w:spacing w:line="480" w:lineRule="exact"/>
        <w:jc w:val="center"/>
        <w:rPr>
          <w:rFonts w:ascii="黑体" w:hAnsi="黑体" w:eastAsia="黑体"/>
          <w:sz w:val="36"/>
        </w:rPr>
      </w:pPr>
      <w:r>
        <w:rPr>
          <w:rFonts w:hint="eastAsia" w:ascii="黑体" w:hAnsi="黑体" w:eastAsia="黑体"/>
          <w:sz w:val="36"/>
        </w:rPr>
        <w:t>填  表  说  明</w:t>
      </w:r>
    </w:p>
    <w:p>
      <w:pPr>
        <w:tabs>
          <w:tab w:val="left" w:pos="2910"/>
        </w:tabs>
        <w:spacing w:line="480" w:lineRule="exact"/>
        <w:jc w:val="center"/>
        <w:rPr>
          <w:rFonts w:ascii="黑体" w:hAnsi="黑体" w:eastAsia="黑体"/>
          <w:sz w:val="32"/>
        </w:rPr>
      </w:pPr>
    </w:p>
    <w:p>
      <w:pPr>
        <w:widowControl/>
        <w:spacing w:line="560" w:lineRule="exact"/>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一</w:t>
      </w:r>
      <w:r>
        <w:rPr>
          <w:rFonts w:hint="eastAsia" w:ascii="仿宋_GB2312" w:hAnsi="仿宋" w:eastAsia="仿宋_GB2312" w:cs="宋体"/>
          <w:spacing w:val="20"/>
          <w:kern w:val="0"/>
          <w:sz w:val="32"/>
          <w:szCs w:val="32"/>
          <w:lang w:val="zh-CN"/>
        </w:rPr>
        <w:t>、承接单位必须如实填报，</w:t>
      </w:r>
      <w:r>
        <w:rPr>
          <w:rFonts w:hint="eastAsia" w:ascii="仿宋_GB2312" w:hAnsi="仿宋" w:eastAsia="仿宋_GB2312" w:cs="宋体"/>
          <w:kern w:val="0"/>
          <w:sz w:val="32"/>
          <w:szCs w:val="32"/>
          <w:lang w:val="zh-CN"/>
        </w:rPr>
        <w:t>保证其真实性和严肃性。</w:t>
      </w:r>
    </w:p>
    <w:p>
      <w:pPr>
        <w:widowControl/>
        <w:spacing w:line="560" w:lineRule="exact"/>
        <w:ind w:firstLine="720" w:firstLineChars="200"/>
        <w:rPr>
          <w:rFonts w:ascii="仿宋_GB2312" w:hAnsi="仿宋" w:eastAsia="仿宋_GB2312" w:cs="宋体"/>
          <w:kern w:val="0"/>
          <w:sz w:val="32"/>
          <w:szCs w:val="32"/>
          <w:lang w:val="zh-CN"/>
        </w:rPr>
      </w:pPr>
      <w:r>
        <w:rPr>
          <w:rFonts w:hint="eastAsia" w:ascii="仿宋_GB2312" w:hAnsi="仿宋" w:eastAsia="仿宋_GB2312" w:cs="宋体"/>
          <w:spacing w:val="20"/>
          <w:kern w:val="0"/>
          <w:sz w:val="32"/>
          <w:szCs w:val="32"/>
          <w:lang w:val="zh-CN"/>
        </w:rPr>
        <w:t>二、项目名称：须明确项目实施内容</w:t>
      </w:r>
      <w:r>
        <w:rPr>
          <w:rFonts w:hint="eastAsia" w:ascii="仿宋_GB2312" w:hAnsi="仿宋" w:eastAsia="仿宋_GB2312" w:cs="宋体"/>
          <w:kern w:val="0"/>
          <w:sz w:val="32"/>
          <w:szCs w:val="32"/>
          <w:lang w:val="zh-CN"/>
        </w:rPr>
        <w:t>。如“××村（社区）留守儿童救助关爱项目”。</w:t>
      </w:r>
    </w:p>
    <w:p>
      <w:pPr>
        <w:spacing w:line="560" w:lineRule="exact"/>
        <w:ind w:firstLine="640" w:firstLineChars="200"/>
        <w:jc w:val="left"/>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三、项目类别：须同时注明服务项目的一级、二级及三级目录名称，如：基本公共服务（A）-残疾人福利（A09）-精神障碍社会康复服务（A0901）。</w:t>
      </w:r>
    </w:p>
    <w:p>
      <w:pPr>
        <w:widowControl/>
        <w:spacing w:line="560" w:lineRule="exact"/>
        <w:ind w:firstLine="720" w:firstLineChars="200"/>
        <w:rPr>
          <w:rFonts w:ascii="仿宋_GB2312" w:hAnsi="仿宋" w:eastAsia="仿宋_GB2312" w:cs="宋体"/>
          <w:kern w:val="0"/>
          <w:sz w:val="32"/>
          <w:szCs w:val="32"/>
          <w:lang w:val="zh-CN"/>
        </w:rPr>
      </w:pPr>
      <w:r>
        <w:rPr>
          <w:rFonts w:hint="eastAsia" w:ascii="仿宋_GB2312" w:hAnsi="仿宋" w:eastAsia="仿宋_GB2312" w:cs="宋体"/>
          <w:spacing w:val="20"/>
          <w:kern w:val="0"/>
          <w:sz w:val="32"/>
          <w:szCs w:val="32"/>
          <w:lang w:val="zh-CN"/>
        </w:rPr>
        <w:t>四、</w:t>
      </w:r>
      <w:r>
        <w:rPr>
          <w:rFonts w:hint="eastAsia" w:ascii="仿宋_GB2312" w:hAnsi="仿宋" w:eastAsia="仿宋_GB2312" w:cs="宋体"/>
          <w:kern w:val="0"/>
          <w:sz w:val="32"/>
          <w:szCs w:val="32"/>
          <w:lang w:val="zh-CN"/>
        </w:rPr>
        <w:t>承接单位：须与我省各级民政部门注册的社会组织登记名称吻合，不能写简称。</w:t>
      </w:r>
    </w:p>
    <w:p>
      <w:pPr>
        <w:widowControl/>
        <w:spacing w:line="560" w:lineRule="exact"/>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五、备案表各项内容按照说明填写，为保证统一规范，请勿对格式进行修改。</w:t>
      </w:r>
    </w:p>
    <w:p>
      <w:pPr>
        <w:widowControl/>
        <w:spacing w:line="560" w:lineRule="exact"/>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七</w:t>
      </w:r>
      <w:r>
        <w:rPr>
          <w:rFonts w:hint="eastAsia" w:ascii="仿宋_GB2312" w:hAnsi="仿宋" w:eastAsia="仿宋_GB2312" w:cs="宋体"/>
          <w:spacing w:val="20"/>
          <w:kern w:val="0"/>
          <w:sz w:val="32"/>
          <w:szCs w:val="32"/>
          <w:lang w:val="zh-CN"/>
        </w:rPr>
        <w:t>、</w:t>
      </w:r>
      <w:r>
        <w:rPr>
          <w:rFonts w:hint="eastAsia" w:ascii="仿宋_GB2312" w:hAnsi="仿宋" w:eastAsia="仿宋_GB2312" w:cs="宋体"/>
          <w:kern w:val="0"/>
          <w:sz w:val="32"/>
          <w:szCs w:val="32"/>
          <w:lang w:val="zh-CN"/>
        </w:rPr>
        <w:t>备案表一式两份，省民政厅、承接单位各1份。</w:t>
      </w:r>
    </w:p>
    <w:p>
      <w:pPr>
        <w:spacing w:line="560" w:lineRule="exact"/>
        <w:ind w:firstLine="640" w:firstLineChars="200"/>
        <w:jc w:val="left"/>
        <w:rPr>
          <w:rFonts w:ascii="仿宋_GB2312" w:hAnsi="仿宋" w:eastAsia="仿宋_GB2312" w:cs="宋体"/>
          <w:spacing w:val="20"/>
          <w:kern w:val="0"/>
          <w:sz w:val="32"/>
          <w:szCs w:val="32"/>
          <w:lang w:val="zh-CN"/>
        </w:rPr>
      </w:pPr>
      <w:r>
        <w:rPr>
          <w:rFonts w:hint="eastAsia" w:ascii="仿宋_GB2312" w:hAnsi="仿宋" w:eastAsia="仿宋_GB2312" w:cs="宋体"/>
          <w:kern w:val="0"/>
          <w:sz w:val="32"/>
          <w:szCs w:val="32"/>
          <w:lang w:val="zh-CN"/>
        </w:rPr>
        <w:t>八、本申报书由青海省民政厅监制并解释。</w:t>
      </w:r>
    </w:p>
    <w:p>
      <w:pPr>
        <w:widowControl/>
        <w:spacing w:line="480" w:lineRule="exact"/>
        <w:rPr>
          <w:rFonts w:ascii="仿宋" w:hAnsi="仿宋" w:eastAsia="仿宋" w:cs="宋体"/>
          <w:spacing w:val="20"/>
          <w:kern w:val="0"/>
          <w:sz w:val="28"/>
          <w:szCs w:val="28"/>
          <w:lang w:val="zh-CN"/>
        </w:rPr>
      </w:pPr>
    </w:p>
    <w:p>
      <w:pPr>
        <w:tabs>
          <w:tab w:val="left" w:pos="2910"/>
        </w:tabs>
        <w:spacing w:line="480" w:lineRule="exact"/>
        <w:jc w:val="center"/>
        <w:rPr>
          <w:rFonts w:ascii="黑体" w:hAnsi="黑体" w:eastAsia="黑体"/>
          <w:sz w:val="32"/>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hint="eastAsia" w:ascii="方正小标宋_GBK" w:hAnsi="黑体" w:eastAsia="方正小标宋_GBK" w:cs="宋体"/>
          <w:bCs/>
          <w:kern w:val="0"/>
          <w:sz w:val="32"/>
          <w:szCs w:val="44"/>
          <w:shd w:val="clear" w:color="auto" w:fill="FFFFFF"/>
        </w:rPr>
      </w:pPr>
    </w:p>
    <w:p>
      <w:pPr>
        <w:spacing w:line="540" w:lineRule="exact"/>
        <w:jc w:val="center"/>
        <w:rPr>
          <w:rFonts w:ascii="方正小标宋_GBK" w:hAnsi="黑体" w:eastAsia="方正小标宋_GBK" w:cs="宋体"/>
          <w:bCs/>
          <w:kern w:val="0"/>
          <w:sz w:val="32"/>
          <w:szCs w:val="44"/>
          <w:shd w:val="clear" w:color="auto" w:fill="FFFFFF"/>
        </w:rPr>
      </w:pPr>
      <w:r>
        <w:rPr>
          <w:rFonts w:hint="eastAsia" w:ascii="方正小标宋_GBK" w:hAnsi="黑体" w:eastAsia="方正小标宋_GBK" w:cs="宋体"/>
          <w:bCs/>
          <w:kern w:val="0"/>
          <w:sz w:val="32"/>
          <w:szCs w:val="44"/>
          <w:shd w:val="clear" w:color="auto" w:fill="FFFFFF"/>
        </w:rPr>
        <w:t>项 目 申 报 表</w:t>
      </w:r>
    </w:p>
    <w:p>
      <w:pPr>
        <w:spacing w:line="540" w:lineRule="exact"/>
        <w:rPr>
          <w:rFonts w:ascii="宋体" w:hAnsi="宋体" w:cs="宋体"/>
          <w:b/>
          <w:bCs/>
          <w:kern w:val="0"/>
          <w:sz w:val="24"/>
          <w:shd w:val="clear" w:color="auto" w:fill="FFFFFF"/>
        </w:rPr>
      </w:pPr>
      <w:r>
        <w:rPr>
          <w:rFonts w:hint="eastAsia" w:ascii="宋体" w:hAnsi="宋体" w:cs="宋体"/>
          <w:b/>
          <w:bCs/>
          <w:kern w:val="0"/>
          <w:sz w:val="24"/>
          <w:shd w:val="clear" w:color="auto" w:fill="FFFFFF"/>
        </w:rPr>
        <w:t>编制单位：</w:t>
      </w:r>
    </w:p>
    <w:p>
      <w:pPr>
        <w:spacing w:line="540" w:lineRule="exact"/>
        <w:jc w:val="left"/>
        <w:rPr>
          <w:rFonts w:ascii="宋体" w:hAnsi="宋体" w:cs="宋体"/>
          <w:b/>
          <w:bCs/>
          <w:kern w:val="0"/>
          <w:sz w:val="24"/>
          <w:shd w:val="clear" w:color="auto" w:fill="FFFFFF"/>
        </w:rPr>
      </w:pPr>
      <w:r>
        <w:rPr>
          <w:rFonts w:hint="eastAsia" w:ascii="宋体" w:hAnsi="宋体" w:cs="宋体"/>
          <w:b/>
          <w:bCs/>
          <w:kern w:val="0"/>
          <w:sz w:val="24"/>
          <w:shd w:val="clear" w:color="auto" w:fill="FFFFFF"/>
        </w:rPr>
        <w:t>填报时间：</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4"/>
        <w:gridCol w:w="1270"/>
        <w:gridCol w:w="703"/>
        <w:gridCol w:w="292"/>
        <w:gridCol w:w="563"/>
        <w:gridCol w:w="429"/>
        <w:gridCol w:w="141"/>
        <w:gridCol w:w="130"/>
        <w:gridCol w:w="14"/>
        <w:gridCol w:w="130"/>
        <w:gridCol w:w="577"/>
        <w:gridCol w:w="139"/>
        <w:gridCol w:w="1267"/>
        <w:gridCol w:w="433"/>
        <w:gridCol w:w="146"/>
        <w:gridCol w:w="141"/>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29" w:type="dxa"/>
            <w:gridSpan w:val="3"/>
            <w:vAlign w:val="center"/>
          </w:tcPr>
          <w:p>
            <w:pPr>
              <w:spacing w:line="540" w:lineRule="exact"/>
              <w:jc w:val="center"/>
              <w:rPr>
                <w:rFonts w:ascii="仿宋" w:hAnsi="仿宋" w:eastAsia="仿宋"/>
                <w:b/>
                <w:sz w:val="24"/>
              </w:rPr>
            </w:pPr>
            <w:r>
              <w:rPr>
                <w:rFonts w:hint="eastAsia" w:ascii="仿宋" w:hAnsi="仿宋" w:eastAsia="仿宋"/>
                <w:b/>
                <w:sz w:val="24"/>
              </w:rPr>
              <w:t>项目名称</w:t>
            </w:r>
          </w:p>
        </w:tc>
        <w:tc>
          <w:tcPr>
            <w:tcW w:w="6951" w:type="dxa"/>
            <w:gridSpan w:val="15"/>
          </w:tcPr>
          <w:p>
            <w:pPr>
              <w:spacing w:line="5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29" w:type="dxa"/>
            <w:gridSpan w:val="3"/>
            <w:vAlign w:val="center"/>
          </w:tcPr>
          <w:p>
            <w:pPr>
              <w:spacing w:line="540" w:lineRule="exact"/>
              <w:jc w:val="center"/>
              <w:rPr>
                <w:rFonts w:ascii="仿宋" w:hAnsi="仿宋" w:eastAsia="仿宋"/>
                <w:b/>
                <w:sz w:val="24"/>
              </w:rPr>
            </w:pPr>
            <w:r>
              <w:rPr>
                <w:rFonts w:hint="eastAsia" w:ascii="仿宋" w:hAnsi="仿宋" w:eastAsia="仿宋"/>
                <w:b/>
                <w:sz w:val="24"/>
              </w:rPr>
              <w:t>承接机构</w:t>
            </w:r>
          </w:p>
        </w:tc>
        <w:tc>
          <w:tcPr>
            <w:tcW w:w="2128" w:type="dxa"/>
            <w:gridSpan w:val="5"/>
          </w:tcPr>
          <w:p>
            <w:pPr>
              <w:pStyle w:val="2"/>
              <w:spacing w:before="115" w:after="115" w:line="360" w:lineRule="exact"/>
              <w:rPr>
                <w:rFonts w:ascii="仿宋" w:hAnsi="仿宋" w:eastAsia="仿宋"/>
                <w:lang w:val="zh-CN"/>
              </w:rPr>
            </w:pPr>
          </w:p>
        </w:tc>
        <w:tc>
          <w:tcPr>
            <w:tcW w:w="2977" w:type="dxa"/>
            <w:gridSpan w:val="9"/>
          </w:tcPr>
          <w:p>
            <w:pPr>
              <w:pStyle w:val="2"/>
              <w:spacing w:before="115" w:after="115" w:line="360" w:lineRule="exact"/>
              <w:rPr>
                <w:rFonts w:ascii="仿宋" w:hAnsi="仿宋" w:eastAsia="仿宋"/>
                <w:b/>
                <w:lang w:val="zh-CN"/>
              </w:rPr>
            </w:pPr>
            <w:r>
              <w:rPr>
                <w:rFonts w:hint="eastAsia" w:ascii="仿宋" w:hAnsi="仿宋" w:eastAsia="仿宋"/>
                <w:b/>
                <w:lang w:val="zh-CN"/>
              </w:rPr>
              <w:t>是否承接过社会服务项目</w:t>
            </w:r>
          </w:p>
        </w:tc>
        <w:tc>
          <w:tcPr>
            <w:tcW w:w="1846" w:type="dxa"/>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29" w:type="dxa"/>
            <w:gridSpan w:val="3"/>
            <w:vAlign w:val="center"/>
          </w:tcPr>
          <w:p>
            <w:pPr>
              <w:spacing w:line="540" w:lineRule="exact"/>
              <w:jc w:val="center"/>
              <w:rPr>
                <w:rFonts w:ascii="仿宋" w:hAnsi="仿宋" w:eastAsia="仿宋"/>
                <w:b/>
                <w:spacing w:val="-20"/>
                <w:sz w:val="24"/>
              </w:rPr>
            </w:pPr>
            <w:r>
              <w:rPr>
                <w:rFonts w:hint="eastAsia" w:ascii="仿宋" w:hAnsi="仿宋" w:eastAsia="仿宋"/>
                <w:b/>
                <w:spacing w:val="-20"/>
                <w:sz w:val="24"/>
              </w:rPr>
              <w:t>项目类别</w:t>
            </w:r>
          </w:p>
        </w:tc>
        <w:tc>
          <w:tcPr>
            <w:tcW w:w="3118" w:type="dxa"/>
            <w:gridSpan w:val="10"/>
          </w:tcPr>
          <w:p>
            <w:pPr>
              <w:spacing w:line="540" w:lineRule="exact"/>
              <w:jc w:val="left"/>
              <w:rPr>
                <w:rFonts w:ascii="仿宋" w:hAnsi="仿宋" w:eastAsia="仿宋"/>
                <w:sz w:val="24"/>
              </w:rPr>
            </w:pPr>
          </w:p>
        </w:tc>
        <w:tc>
          <w:tcPr>
            <w:tcW w:w="1987" w:type="dxa"/>
            <w:gridSpan w:val="4"/>
          </w:tcPr>
          <w:p>
            <w:pPr>
              <w:spacing w:line="540" w:lineRule="exact"/>
              <w:ind w:firstLine="118" w:firstLineChars="49"/>
              <w:jc w:val="left"/>
              <w:rPr>
                <w:rFonts w:ascii="仿宋" w:hAnsi="仿宋" w:eastAsia="仿宋"/>
                <w:b/>
                <w:sz w:val="24"/>
              </w:rPr>
            </w:pPr>
            <w:r>
              <w:rPr>
                <w:rFonts w:hint="eastAsia" w:ascii="仿宋" w:hAnsi="仿宋" w:eastAsia="仿宋"/>
                <w:b/>
                <w:sz w:val="24"/>
              </w:rPr>
              <w:t>实施地域</w:t>
            </w:r>
          </w:p>
        </w:tc>
        <w:tc>
          <w:tcPr>
            <w:tcW w:w="1846" w:type="dxa"/>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29" w:type="dxa"/>
            <w:gridSpan w:val="3"/>
            <w:vMerge w:val="restart"/>
            <w:vAlign w:val="center"/>
          </w:tcPr>
          <w:p>
            <w:pPr>
              <w:spacing w:line="540" w:lineRule="exact"/>
              <w:jc w:val="center"/>
              <w:rPr>
                <w:rFonts w:ascii="仿宋" w:hAnsi="仿宋" w:eastAsia="仿宋"/>
                <w:b/>
                <w:sz w:val="24"/>
              </w:rPr>
            </w:pPr>
            <w:r>
              <w:rPr>
                <w:rFonts w:hint="eastAsia" w:ascii="仿宋" w:hAnsi="仿宋" w:eastAsia="仿宋"/>
                <w:b/>
                <w:spacing w:val="-20"/>
                <w:sz w:val="24"/>
              </w:rPr>
              <w:t>基本信息</w:t>
            </w:r>
          </w:p>
        </w:tc>
        <w:tc>
          <w:tcPr>
            <w:tcW w:w="1558" w:type="dxa"/>
            <w:gridSpan w:val="3"/>
          </w:tcPr>
          <w:p>
            <w:pPr>
              <w:spacing w:line="540" w:lineRule="exact"/>
              <w:jc w:val="left"/>
              <w:rPr>
                <w:rFonts w:ascii="仿宋" w:hAnsi="仿宋" w:eastAsia="仿宋"/>
                <w:b/>
                <w:sz w:val="24"/>
              </w:rPr>
            </w:pPr>
            <w:r>
              <w:rPr>
                <w:rFonts w:hint="eastAsia" w:ascii="仿宋" w:hAnsi="仿宋" w:eastAsia="仿宋"/>
                <w:b/>
                <w:sz w:val="24"/>
              </w:rPr>
              <w:t>相关人员</w:t>
            </w:r>
          </w:p>
        </w:tc>
        <w:tc>
          <w:tcPr>
            <w:tcW w:w="1560" w:type="dxa"/>
            <w:gridSpan w:val="7"/>
          </w:tcPr>
          <w:p>
            <w:pPr>
              <w:spacing w:line="540" w:lineRule="exact"/>
              <w:ind w:left="195"/>
              <w:jc w:val="left"/>
              <w:rPr>
                <w:rFonts w:ascii="仿宋" w:hAnsi="仿宋" w:eastAsia="仿宋"/>
                <w:b/>
                <w:sz w:val="24"/>
              </w:rPr>
            </w:pPr>
            <w:r>
              <w:rPr>
                <w:rFonts w:hint="eastAsia" w:ascii="仿宋" w:hAnsi="仿宋" w:eastAsia="仿宋"/>
                <w:b/>
                <w:sz w:val="24"/>
              </w:rPr>
              <w:t>姓名</w:t>
            </w:r>
          </w:p>
        </w:tc>
        <w:tc>
          <w:tcPr>
            <w:tcW w:w="1987" w:type="dxa"/>
            <w:gridSpan w:val="4"/>
          </w:tcPr>
          <w:p>
            <w:pPr>
              <w:spacing w:line="540" w:lineRule="exact"/>
              <w:jc w:val="left"/>
              <w:rPr>
                <w:rFonts w:ascii="仿宋" w:hAnsi="仿宋" w:eastAsia="仿宋"/>
                <w:b/>
                <w:sz w:val="24"/>
              </w:rPr>
            </w:pPr>
            <w:r>
              <w:rPr>
                <w:rFonts w:hint="eastAsia" w:ascii="仿宋" w:hAnsi="仿宋" w:eastAsia="仿宋"/>
                <w:b/>
                <w:sz w:val="24"/>
              </w:rPr>
              <w:t>联系方式（手机）</w:t>
            </w:r>
          </w:p>
        </w:tc>
        <w:tc>
          <w:tcPr>
            <w:tcW w:w="1846" w:type="dxa"/>
          </w:tcPr>
          <w:p>
            <w:pPr>
              <w:spacing w:line="540" w:lineRule="exact"/>
              <w:ind w:left="195"/>
              <w:jc w:val="left"/>
              <w:rPr>
                <w:rFonts w:ascii="仿宋" w:hAnsi="仿宋" w:eastAsia="仿宋"/>
                <w:b/>
                <w:sz w:val="24"/>
              </w:rPr>
            </w:pPr>
            <w:r>
              <w:rPr>
                <w:rFonts w:hint="eastAsia" w:ascii="仿宋" w:hAnsi="仿宋" w:eastAsia="仿宋"/>
                <w:b/>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29" w:type="dxa"/>
            <w:gridSpan w:val="3"/>
            <w:vMerge w:val="continue"/>
            <w:vAlign w:val="center"/>
          </w:tcPr>
          <w:p>
            <w:pPr>
              <w:spacing w:line="540" w:lineRule="exact"/>
              <w:jc w:val="center"/>
              <w:rPr>
                <w:rFonts w:ascii="仿宋" w:hAnsi="仿宋" w:eastAsia="仿宋"/>
                <w:b/>
                <w:spacing w:val="-20"/>
                <w:sz w:val="24"/>
              </w:rPr>
            </w:pPr>
          </w:p>
        </w:tc>
        <w:tc>
          <w:tcPr>
            <w:tcW w:w="1558" w:type="dxa"/>
            <w:gridSpan w:val="3"/>
          </w:tcPr>
          <w:p>
            <w:pPr>
              <w:spacing w:line="540" w:lineRule="exact"/>
              <w:jc w:val="left"/>
              <w:rPr>
                <w:rFonts w:ascii="仿宋" w:hAnsi="仿宋" w:eastAsia="仿宋"/>
                <w:b/>
                <w:sz w:val="24"/>
              </w:rPr>
            </w:pPr>
            <w:r>
              <w:rPr>
                <w:rFonts w:hint="eastAsia" w:ascii="仿宋" w:hAnsi="仿宋" w:eastAsia="仿宋"/>
                <w:b/>
                <w:sz w:val="24"/>
              </w:rPr>
              <w:t>法定代表人</w:t>
            </w:r>
          </w:p>
        </w:tc>
        <w:tc>
          <w:tcPr>
            <w:tcW w:w="1560" w:type="dxa"/>
            <w:gridSpan w:val="7"/>
          </w:tcPr>
          <w:p>
            <w:pPr>
              <w:spacing w:line="540" w:lineRule="exact"/>
              <w:jc w:val="left"/>
              <w:rPr>
                <w:rFonts w:ascii="仿宋" w:hAnsi="仿宋" w:eastAsia="仿宋"/>
                <w:sz w:val="24"/>
              </w:rPr>
            </w:pPr>
          </w:p>
        </w:tc>
        <w:tc>
          <w:tcPr>
            <w:tcW w:w="1987" w:type="dxa"/>
            <w:gridSpan w:val="4"/>
          </w:tcPr>
          <w:p>
            <w:pPr>
              <w:spacing w:line="540" w:lineRule="exact"/>
              <w:jc w:val="left"/>
              <w:rPr>
                <w:rFonts w:ascii="仿宋" w:hAnsi="仿宋" w:eastAsia="仿宋"/>
                <w:sz w:val="24"/>
              </w:rPr>
            </w:pPr>
          </w:p>
        </w:tc>
        <w:tc>
          <w:tcPr>
            <w:tcW w:w="1846" w:type="dxa"/>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229" w:type="dxa"/>
            <w:gridSpan w:val="3"/>
            <w:vMerge w:val="continue"/>
            <w:vAlign w:val="center"/>
          </w:tcPr>
          <w:p>
            <w:pPr>
              <w:spacing w:line="540" w:lineRule="exact"/>
              <w:jc w:val="center"/>
              <w:rPr>
                <w:rFonts w:ascii="仿宋" w:hAnsi="仿宋" w:eastAsia="仿宋"/>
                <w:b/>
                <w:spacing w:val="-20"/>
                <w:sz w:val="24"/>
              </w:rPr>
            </w:pPr>
          </w:p>
        </w:tc>
        <w:tc>
          <w:tcPr>
            <w:tcW w:w="1558" w:type="dxa"/>
            <w:gridSpan w:val="3"/>
          </w:tcPr>
          <w:p>
            <w:pPr>
              <w:spacing w:line="540" w:lineRule="exact"/>
              <w:jc w:val="left"/>
              <w:rPr>
                <w:rFonts w:ascii="仿宋" w:hAnsi="仿宋" w:eastAsia="仿宋"/>
                <w:b/>
                <w:sz w:val="24"/>
              </w:rPr>
            </w:pPr>
            <w:r>
              <w:rPr>
                <w:rFonts w:hint="eastAsia" w:ascii="仿宋" w:hAnsi="仿宋" w:eastAsia="仿宋"/>
                <w:b/>
                <w:sz w:val="24"/>
              </w:rPr>
              <w:t>项目负责人</w:t>
            </w:r>
          </w:p>
        </w:tc>
        <w:tc>
          <w:tcPr>
            <w:tcW w:w="1560" w:type="dxa"/>
            <w:gridSpan w:val="7"/>
          </w:tcPr>
          <w:p>
            <w:pPr>
              <w:spacing w:line="540" w:lineRule="exact"/>
              <w:jc w:val="left"/>
              <w:rPr>
                <w:rFonts w:ascii="仿宋" w:hAnsi="仿宋" w:eastAsia="仿宋"/>
                <w:sz w:val="24"/>
              </w:rPr>
            </w:pPr>
          </w:p>
        </w:tc>
        <w:tc>
          <w:tcPr>
            <w:tcW w:w="1987" w:type="dxa"/>
            <w:gridSpan w:val="4"/>
          </w:tcPr>
          <w:p>
            <w:pPr>
              <w:spacing w:line="540" w:lineRule="exact"/>
              <w:jc w:val="left"/>
              <w:rPr>
                <w:rFonts w:ascii="仿宋" w:hAnsi="仿宋" w:eastAsia="仿宋"/>
                <w:sz w:val="24"/>
              </w:rPr>
            </w:pPr>
          </w:p>
        </w:tc>
        <w:tc>
          <w:tcPr>
            <w:tcW w:w="1846" w:type="dxa"/>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29" w:type="dxa"/>
            <w:gridSpan w:val="3"/>
            <w:vMerge w:val="continue"/>
            <w:vAlign w:val="center"/>
          </w:tcPr>
          <w:p>
            <w:pPr>
              <w:spacing w:line="540" w:lineRule="exact"/>
              <w:jc w:val="center"/>
              <w:rPr>
                <w:rFonts w:ascii="仿宋" w:hAnsi="仿宋" w:eastAsia="仿宋"/>
                <w:b/>
                <w:spacing w:val="-20"/>
                <w:sz w:val="24"/>
              </w:rPr>
            </w:pPr>
          </w:p>
        </w:tc>
        <w:tc>
          <w:tcPr>
            <w:tcW w:w="1558" w:type="dxa"/>
            <w:gridSpan w:val="3"/>
          </w:tcPr>
          <w:p>
            <w:pPr>
              <w:spacing w:line="540" w:lineRule="exact"/>
              <w:jc w:val="left"/>
              <w:rPr>
                <w:rFonts w:ascii="仿宋" w:hAnsi="仿宋" w:eastAsia="仿宋"/>
                <w:b/>
                <w:sz w:val="24"/>
              </w:rPr>
            </w:pPr>
            <w:r>
              <w:rPr>
                <w:rFonts w:hint="eastAsia" w:ascii="仿宋" w:hAnsi="仿宋" w:eastAsia="仿宋"/>
                <w:b/>
                <w:sz w:val="24"/>
              </w:rPr>
              <w:t>项目联系人</w:t>
            </w:r>
          </w:p>
        </w:tc>
        <w:tc>
          <w:tcPr>
            <w:tcW w:w="1560" w:type="dxa"/>
            <w:gridSpan w:val="7"/>
          </w:tcPr>
          <w:p>
            <w:pPr>
              <w:spacing w:line="540" w:lineRule="exact"/>
              <w:jc w:val="left"/>
              <w:rPr>
                <w:rFonts w:ascii="仿宋" w:hAnsi="仿宋" w:eastAsia="仿宋"/>
                <w:sz w:val="24"/>
              </w:rPr>
            </w:pPr>
          </w:p>
        </w:tc>
        <w:tc>
          <w:tcPr>
            <w:tcW w:w="1987" w:type="dxa"/>
            <w:gridSpan w:val="4"/>
          </w:tcPr>
          <w:p>
            <w:pPr>
              <w:spacing w:line="540" w:lineRule="exact"/>
              <w:jc w:val="left"/>
              <w:rPr>
                <w:rFonts w:ascii="仿宋" w:hAnsi="仿宋" w:eastAsia="仿宋"/>
                <w:sz w:val="24"/>
              </w:rPr>
            </w:pPr>
          </w:p>
        </w:tc>
        <w:tc>
          <w:tcPr>
            <w:tcW w:w="1846" w:type="dxa"/>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29" w:type="dxa"/>
            <w:gridSpan w:val="3"/>
            <w:vMerge w:val="restart"/>
            <w:vAlign w:val="center"/>
          </w:tcPr>
          <w:p>
            <w:pPr>
              <w:spacing w:line="540" w:lineRule="exact"/>
              <w:jc w:val="center"/>
              <w:rPr>
                <w:rFonts w:ascii="仿宋" w:hAnsi="仿宋" w:eastAsia="仿宋"/>
                <w:b/>
                <w:sz w:val="24"/>
              </w:rPr>
            </w:pPr>
            <w:r>
              <w:rPr>
                <w:rFonts w:hint="eastAsia" w:ascii="仿宋" w:hAnsi="仿宋" w:eastAsia="仿宋"/>
                <w:b/>
                <w:sz w:val="24"/>
              </w:rPr>
              <w:t>开户信息</w:t>
            </w:r>
          </w:p>
        </w:tc>
        <w:tc>
          <w:tcPr>
            <w:tcW w:w="1558" w:type="dxa"/>
            <w:gridSpan w:val="3"/>
          </w:tcPr>
          <w:p>
            <w:pPr>
              <w:pStyle w:val="2"/>
              <w:spacing w:before="115" w:after="115" w:line="360" w:lineRule="exact"/>
              <w:rPr>
                <w:rFonts w:ascii="仿宋" w:hAnsi="仿宋" w:eastAsia="仿宋"/>
                <w:b/>
                <w:lang w:val="zh-CN"/>
              </w:rPr>
            </w:pPr>
            <w:r>
              <w:rPr>
                <w:rFonts w:hint="eastAsia" w:ascii="仿宋" w:hAnsi="仿宋" w:eastAsia="仿宋"/>
                <w:b/>
                <w:lang w:val="zh-CN"/>
              </w:rPr>
              <w:t>户名</w:t>
            </w:r>
          </w:p>
        </w:tc>
        <w:tc>
          <w:tcPr>
            <w:tcW w:w="5393" w:type="dxa"/>
            <w:gridSpan w:val="12"/>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29" w:type="dxa"/>
            <w:gridSpan w:val="3"/>
            <w:vMerge w:val="continue"/>
            <w:vAlign w:val="center"/>
          </w:tcPr>
          <w:p>
            <w:pPr>
              <w:spacing w:line="540" w:lineRule="exact"/>
              <w:jc w:val="center"/>
              <w:rPr>
                <w:rFonts w:ascii="仿宋" w:hAnsi="仿宋" w:eastAsia="仿宋"/>
                <w:b/>
                <w:sz w:val="24"/>
              </w:rPr>
            </w:pPr>
          </w:p>
        </w:tc>
        <w:tc>
          <w:tcPr>
            <w:tcW w:w="1558" w:type="dxa"/>
            <w:gridSpan w:val="3"/>
          </w:tcPr>
          <w:p>
            <w:pPr>
              <w:pStyle w:val="2"/>
              <w:spacing w:before="115" w:after="115" w:line="360" w:lineRule="exact"/>
              <w:rPr>
                <w:rFonts w:ascii="仿宋" w:hAnsi="仿宋" w:eastAsia="仿宋"/>
                <w:b/>
                <w:lang w:val="zh-CN"/>
              </w:rPr>
            </w:pPr>
            <w:r>
              <w:rPr>
                <w:rFonts w:hint="eastAsia" w:ascii="仿宋" w:hAnsi="仿宋" w:eastAsia="仿宋"/>
                <w:b/>
                <w:lang w:val="zh-CN"/>
              </w:rPr>
              <w:t>开户账号</w:t>
            </w:r>
          </w:p>
        </w:tc>
        <w:tc>
          <w:tcPr>
            <w:tcW w:w="5393" w:type="dxa"/>
            <w:gridSpan w:val="12"/>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29" w:type="dxa"/>
            <w:gridSpan w:val="3"/>
            <w:vMerge w:val="continue"/>
            <w:vAlign w:val="center"/>
          </w:tcPr>
          <w:p>
            <w:pPr>
              <w:spacing w:line="540" w:lineRule="exact"/>
              <w:jc w:val="center"/>
              <w:rPr>
                <w:rFonts w:ascii="仿宋" w:hAnsi="仿宋" w:eastAsia="仿宋"/>
                <w:b/>
                <w:sz w:val="24"/>
              </w:rPr>
            </w:pPr>
          </w:p>
        </w:tc>
        <w:tc>
          <w:tcPr>
            <w:tcW w:w="1558" w:type="dxa"/>
            <w:gridSpan w:val="3"/>
          </w:tcPr>
          <w:p>
            <w:pPr>
              <w:pStyle w:val="2"/>
              <w:spacing w:before="115" w:after="115" w:line="360" w:lineRule="exact"/>
              <w:rPr>
                <w:rFonts w:ascii="仿宋" w:hAnsi="仿宋" w:eastAsia="仿宋"/>
                <w:b/>
                <w:lang w:val="zh-CN"/>
              </w:rPr>
            </w:pPr>
            <w:r>
              <w:rPr>
                <w:rFonts w:hint="eastAsia" w:ascii="仿宋" w:hAnsi="仿宋" w:eastAsia="仿宋"/>
                <w:b/>
                <w:lang w:val="zh-CN"/>
              </w:rPr>
              <w:t>开户行</w:t>
            </w:r>
          </w:p>
        </w:tc>
        <w:tc>
          <w:tcPr>
            <w:tcW w:w="5393" w:type="dxa"/>
            <w:gridSpan w:val="12"/>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29" w:type="dxa"/>
            <w:gridSpan w:val="3"/>
            <w:vAlign w:val="center"/>
          </w:tcPr>
          <w:p>
            <w:pPr>
              <w:spacing w:line="540" w:lineRule="exact"/>
              <w:jc w:val="center"/>
              <w:rPr>
                <w:rFonts w:ascii="仿宋" w:hAnsi="仿宋" w:eastAsia="仿宋"/>
                <w:b/>
                <w:sz w:val="24"/>
              </w:rPr>
            </w:pPr>
            <w:r>
              <w:rPr>
                <w:rFonts w:hint="eastAsia" w:ascii="仿宋" w:hAnsi="仿宋" w:eastAsia="仿宋"/>
                <w:b/>
                <w:sz w:val="24"/>
              </w:rPr>
              <w:t>业务主管单位</w:t>
            </w:r>
          </w:p>
        </w:tc>
        <w:tc>
          <w:tcPr>
            <w:tcW w:w="6951" w:type="dxa"/>
            <w:gridSpan w:val="15"/>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29" w:type="dxa"/>
            <w:gridSpan w:val="3"/>
            <w:vAlign w:val="center"/>
          </w:tcPr>
          <w:p>
            <w:pPr>
              <w:spacing w:line="540" w:lineRule="exact"/>
              <w:jc w:val="center"/>
              <w:rPr>
                <w:rFonts w:ascii="仿宋" w:hAnsi="仿宋" w:eastAsia="仿宋"/>
                <w:b/>
                <w:sz w:val="24"/>
              </w:rPr>
            </w:pPr>
            <w:r>
              <w:rPr>
                <w:rFonts w:hint="eastAsia" w:ascii="仿宋" w:hAnsi="仿宋" w:eastAsia="仿宋"/>
                <w:b/>
                <w:sz w:val="24"/>
              </w:rPr>
              <w:t>登记证号</w:t>
            </w:r>
          </w:p>
        </w:tc>
        <w:tc>
          <w:tcPr>
            <w:tcW w:w="2402" w:type="dxa"/>
            <w:gridSpan w:val="8"/>
            <w:vAlign w:val="center"/>
          </w:tcPr>
          <w:p>
            <w:pPr>
              <w:pStyle w:val="2"/>
              <w:spacing w:before="115" w:after="115" w:line="360" w:lineRule="exact"/>
              <w:jc w:val="center"/>
              <w:rPr>
                <w:rFonts w:ascii="仿宋" w:hAnsi="仿宋" w:eastAsia="仿宋"/>
                <w:lang w:val="zh-CN"/>
              </w:rPr>
            </w:pPr>
          </w:p>
        </w:tc>
        <w:tc>
          <w:tcPr>
            <w:tcW w:w="1983" w:type="dxa"/>
            <w:gridSpan w:val="3"/>
            <w:vAlign w:val="center"/>
          </w:tcPr>
          <w:p>
            <w:pPr>
              <w:pStyle w:val="2"/>
              <w:spacing w:before="115" w:after="115" w:line="360" w:lineRule="exact"/>
              <w:jc w:val="center"/>
              <w:rPr>
                <w:rFonts w:ascii="仿宋" w:hAnsi="仿宋" w:eastAsia="仿宋"/>
                <w:lang w:val="zh-CN"/>
              </w:rPr>
            </w:pPr>
            <w:r>
              <w:rPr>
                <w:rFonts w:hint="eastAsia" w:ascii="仿宋" w:hAnsi="仿宋" w:eastAsia="仿宋"/>
                <w:b/>
              </w:rPr>
              <w:t>通讯地址</w:t>
            </w:r>
          </w:p>
        </w:tc>
        <w:tc>
          <w:tcPr>
            <w:tcW w:w="2566" w:type="dxa"/>
            <w:gridSpan w:val="4"/>
            <w:vAlign w:val="center"/>
          </w:tcPr>
          <w:p>
            <w:pPr>
              <w:pStyle w:val="2"/>
              <w:spacing w:before="115" w:after="115" w:line="360" w:lineRule="exact"/>
              <w:jc w:val="center"/>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29" w:type="dxa"/>
            <w:gridSpan w:val="3"/>
            <w:vAlign w:val="center"/>
          </w:tcPr>
          <w:p>
            <w:pPr>
              <w:spacing w:line="540" w:lineRule="exact"/>
              <w:ind w:firstLine="118" w:firstLineChars="49"/>
              <w:rPr>
                <w:rFonts w:ascii="仿宋" w:hAnsi="仿宋" w:eastAsia="仿宋"/>
                <w:b/>
                <w:sz w:val="24"/>
              </w:rPr>
            </w:pPr>
            <w:r>
              <w:rPr>
                <w:rFonts w:hint="eastAsia" w:ascii="仿宋" w:hAnsi="仿宋" w:eastAsia="仿宋"/>
                <w:b/>
                <w:sz w:val="24"/>
              </w:rPr>
              <w:t>上年度检查结论</w:t>
            </w:r>
          </w:p>
        </w:tc>
        <w:tc>
          <w:tcPr>
            <w:tcW w:w="2402" w:type="dxa"/>
            <w:gridSpan w:val="8"/>
            <w:vAlign w:val="center"/>
          </w:tcPr>
          <w:p>
            <w:pPr>
              <w:pStyle w:val="2"/>
              <w:spacing w:before="115" w:after="115" w:line="360" w:lineRule="exact"/>
              <w:jc w:val="center"/>
              <w:rPr>
                <w:rFonts w:ascii="仿宋" w:hAnsi="仿宋" w:eastAsia="仿宋"/>
              </w:rPr>
            </w:pPr>
          </w:p>
        </w:tc>
        <w:tc>
          <w:tcPr>
            <w:tcW w:w="1983" w:type="dxa"/>
            <w:gridSpan w:val="3"/>
            <w:vAlign w:val="center"/>
          </w:tcPr>
          <w:p>
            <w:pPr>
              <w:pStyle w:val="2"/>
              <w:spacing w:before="115" w:after="115" w:line="360" w:lineRule="exact"/>
              <w:jc w:val="center"/>
              <w:rPr>
                <w:rFonts w:ascii="仿宋" w:hAnsi="仿宋" w:eastAsia="仿宋"/>
                <w:b/>
              </w:rPr>
            </w:pPr>
            <w:r>
              <w:rPr>
                <w:rFonts w:hint="eastAsia" w:ascii="仿宋" w:hAnsi="仿宋" w:eastAsia="仿宋"/>
                <w:b/>
              </w:rPr>
              <w:t>有效评估等级</w:t>
            </w:r>
          </w:p>
        </w:tc>
        <w:tc>
          <w:tcPr>
            <w:tcW w:w="2566" w:type="dxa"/>
            <w:gridSpan w:val="4"/>
            <w:vAlign w:val="center"/>
          </w:tcPr>
          <w:p>
            <w:pPr>
              <w:pStyle w:val="2"/>
              <w:spacing w:before="115" w:after="115" w:line="360" w:lineRule="exact"/>
              <w:jc w:val="center"/>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29" w:type="dxa"/>
            <w:gridSpan w:val="3"/>
            <w:vAlign w:val="center"/>
          </w:tcPr>
          <w:p>
            <w:pPr>
              <w:spacing w:line="540" w:lineRule="exact"/>
              <w:ind w:firstLine="492" w:firstLineChars="245"/>
              <w:rPr>
                <w:rFonts w:ascii="仿宋" w:hAnsi="仿宋" w:eastAsia="仿宋"/>
                <w:b/>
                <w:spacing w:val="-20"/>
                <w:sz w:val="24"/>
              </w:rPr>
            </w:pPr>
            <w:r>
              <w:rPr>
                <w:rFonts w:hint="eastAsia" w:ascii="仿宋" w:hAnsi="仿宋" w:eastAsia="仿宋"/>
                <w:b/>
                <w:spacing w:val="-20"/>
                <w:sz w:val="24"/>
              </w:rPr>
              <w:t>项目内容</w:t>
            </w:r>
          </w:p>
        </w:tc>
        <w:tc>
          <w:tcPr>
            <w:tcW w:w="6951" w:type="dxa"/>
            <w:gridSpan w:val="15"/>
          </w:tcPr>
          <w:p>
            <w:pPr>
              <w:spacing w:line="54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29" w:type="dxa"/>
            <w:gridSpan w:val="3"/>
            <w:vAlign w:val="center"/>
          </w:tcPr>
          <w:p>
            <w:pPr>
              <w:spacing w:line="540" w:lineRule="exact"/>
              <w:ind w:firstLine="492" w:firstLineChars="245"/>
              <w:rPr>
                <w:rFonts w:ascii="仿宋" w:hAnsi="仿宋" w:eastAsia="仿宋"/>
                <w:b/>
                <w:spacing w:val="-20"/>
                <w:sz w:val="24"/>
              </w:rPr>
            </w:pPr>
            <w:r>
              <w:rPr>
                <w:rFonts w:hint="eastAsia" w:ascii="仿宋" w:hAnsi="仿宋" w:eastAsia="仿宋"/>
                <w:b/>
                <w:spacing w:val="-20"/>
                <w:sz w:val="24"/>
              </w:rPr>
              <w:t>实施周期</w:t>
            </w:r>
          </w:p>
        </w:tc>
        <w:tc>
          <w:tcPr>
            <w:tcW w:w="6951" w:type="dxa"/>
            <w:gridSpan w:val="15"/>
          </w:tcPr>
          <w:p>
            <w:pPr>
              <w:spacing w:line="540" w:lineRule="exact"/>
              <w:jc w:val="left"/>
              <w:rPr>
                <w:rFonts w:ascii="仿宋" w:hAnsi="仿宋" w:eastAsia="仿宋"/>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29" w:type="dxa"/>
            <w:gridSpan w:val="3"/>
            <w:vAlign w:val="center"/>
          </w:tcPr>
          <w:p>
            <w:pPr>
              <w:spacing w:line="540" w:lineRule="exact"/>
              <w:ind w:firstLine="492" w:firstLineChars="245"/>
              <w:rPr>
                <w:rFonts w:ascii="仿宋" w:hAnsi="仿宋" w:eastAsia="仿宋"/>
                <w:b/>
                <w:sz w:val="24"/>
              </w:rPr>
            </w:pPr>
            <w:r>
              <w:rPr>
                <w:rFonts w:hint="eastAsia" w:ascii="仿宋" w:hAnsi="仿宋" w:eastAsia="仿宋"/>
                <w:b/>
                <w:spacing w:val="-20"/>
                <w:sz w:val="24"/>
              </w:rPr>
              <w:t>主要业绩</w:t>
            </w:r>
          </w:p>
        </w:tc>
        <w:tc>
          <w:tcPr>
            <w:tcW w:w="6951" w:type="dxa"/>
            <w:gridSpan w:val="15"/>
          </w:tcPr>
          <w:p>
            <w:pPr>
              <w:spacing w:line="54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29" w:type="dxa"/>
            <w:gridSpan w:val="3"/>
            <w:vAlign w:val="center"/>
          </w:tcPr>
          <w:p>
            <w:pPr>
              <w:spacing w:line="540" w:lineRule="exact"/>
              <w:jc w:val="center"/>
              <w:rPr>
                <w:rFonts w:ascii="仿宋" w:hAnsi="仿宋" w:eastAsia="仿宋"/>
                <w:b/>
                <w:sz w:val="24"/>
              </w:rPr>
            </w:pPr>
            <w:r>
              <w:rPr>
                <w:rFonts w:hint="eastAsia" w:ascii="仿宋" w:hAnsi="仿宋" w:eastAsia="仿宋"/>
                <w:b/>
                <w:sz w:val="24"/>
              </w:rPr>
              <w:t>预期效果</w:t>
            </w:r>
          </w:p>
        </w:tc>
        <w:tc>
          <w:tcPr>
            <w:tcW w:w="6951" w:type="dxa"/>
            <w:gridSpan w:val="15"/>
          </w:tcPr>
          <w:p>
            <w:pPr>
              <w:spacing w:line="54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29" w:type="dxa"/>
            <w:gridSpan w:val="3"/>
            <w:vAlign w:val="center"/>
          </w:tcPr>
          <w:p>
            <w:pPr>
              <w:spacing w:line="540" w:lineRule="exact"/>
              <w:jc w:val="center"/>
              <w:rPr>
                <w:rFonts w:ascii="仿宋" w:hAnsi="仿宋" w:eastAsia="仿宋"/>
                <w:b/>
                <w:spacing w:val="-20"/>
                <w:sz w:val="24"/>
              </w:rPr>
            </w:pPr>
            <w:r>
              <w:rPr>
                <w:rFonts w:hint="eastAsia" w:ascii="仿宋" w:hAnsi="仿宋" w:eastAsia="仿宋"/>
                <w:b/>
                <w:spacing w:val="-20"/>
                <w:sz w:val="24"/>
              </w:rPr>
              <w:t>项目特色</w:t>
            </w:r>
          </w:p>
        </w:tc>
        <w:tc>
          <w:tcPr>
            <w:tcW w:w="6951" w:type="dxa"/>
            <w:gridSpan w:val="15"/>
          </w:tcPr>
          <w:p>
            <w:pPr>
              <w:spacing w:line="540" w:lineRule="exact"/>
              <w:jc w:val="left"/>
              <w:rPr>
                <w:rFonts w:ascii="仿宋" w:hAnsi="仿宋" w:eastAsia="仿宋"/>
                <w:b/>
                <w:sz w:val="24"/>
              </w:rPr>
            </w:pPr>
            <w:r>
              <w:rPr>
                <w:rFonts w:hint="eastAsia" w:ascii="仿宋" w:hAnsi="仿宋" w:eastAsia="仿宋"/>
                <w:b/>
                <w:sz w:val="24"/>
              </w:rPr>
              <w:t>（综合描述、创新性、示范性、可推广性）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29" w:type="dxa"/>
            <w:gridSpan w:val="3"/>
            <w:vAlign w:val="center"/>
          </w:tcPr>
          <w:p>
            <w:pPr>
              <w:spacing w:line="540" w:lineRule="exact"/>
              <w:jc w:val="center"/>
              <w:rPr>
                <w:rFonts w:ascii="仿宋" w:hAnsi="仿宋" w:eastAsia="仿宋"/>
                <w:b/>
                <w:spacing w:val="-20"/>
                <w:sz w:val="24"/>
              </w:rPr>
            </w:pPr>
            <w:r>
              <w:rPr>
                <w:rFonts w:hint="eastAsia" w:ascii="仿宋" w:hAnsi="仿宋" w:eastAsia="仿宋"/>
                <w:b/>
                <w:spacing w:val="-20"/>
                <w:sz w:val="24"/>
              </w:rPr>
              <w:t>实施方案</w:t>
            </w:r>
          </w:p>
        </w:tc>
        <w:tc>
          <w:tcPr>
            <w:tcW w:w="6951" w:type="dxa"/>
            <w:gridSpan w:val="15"/>
          </w:tcPr>
          <w:p>
            <w:pPr>
              <w:spacing w:line="540" w:lineRule="exact"/>
              <w:jc w:val="left"/>
              <w:rPr>
                <w:rFonts w:ascii="仿宋" w:hAnsi="仿宋" w:eastAsia="仿宋"/>
                <w:b/>
                <w:sz w:val="24"/>
              </w:rPr>
            </w:pPr>
            <w:r>
              <w:rPr>
                <w:rFonts w:hint="eastAsia" w:ascii="仿宋" w:hAnsi="仿宋" w:eastAsia="仿宋"/>
                <w:b/>
                <w:sz w:val="24"/>
              </w:rPr>
              <w:t>（包含项目进度安排、项目实施的主要服务内容、项目实施时间、资金预算和宣传方案等内容）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229" w:type="dxa"/>
            <w:gridSpan w:val="3"/>
            <w:vAlign w:val="center"/>
          </w:tcPr>
          <w:p>
            <w:pPr>
              <w:spacing w:line="540" w:lineRule="exact"/>
              <w:jc w:val="center"/>
              <w:rPr>
                <w:rFonts w:ascii="仿宋" w:hAnsi="仿宋" w:eastAsia="仿宋"/>
                <w:b/>
                <w:sz w:val="24"/>
              </w:rPr>
            </w:pPr>
            <w:r>
              <w:rPr>
                <w:rFonts w:hint="eastAsia" w:ascii="仿宋" w:hAnsi="仿宋" w:eastAsia="仿宋"/>
                <w:b/>
                <w:sz w:val="24"/>
              </w:rPr>
              <w:t>执行团队基本情况</w:t>
            </w:r>
          </w:p>
        </w:tc>
        <w:tc>
          <w:tcPr>
            <w:tcW w:w="6951" w:type="dxa"/>
            <w:gridSpan w:val="15"/>
          </w:tcPr>
          <w:p>
            <w:pPr>
              <w:spacing w:line="54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29" w:type="dxa"/>
            <w:gridSpan w:val="3"/>
            <w:vAlign w:val="center"/>
          </w:tcPr>
          <w:p>
            <w:pPr>
              <w:spacing w:line="540" w:lineRule="exact"/>
              <w:jc w:val="center"/>
              <w:rPr>
                <w:rFonts w:ascii="仿宋" w:hAnsi="仿宋" w:eastAsia="仿宋"/>
                <w:b/>
                <w:sz w:val="24"/>
              </w:rPr>
            </w:pPr>
            <w:r>
              <w:rPr>
                <w:rFonts w:hint="eastAsia" w:ascii="仿宋" w:hAnsi="仿宋" w:eastAsia="仿宋"/>
                <w:b/>
                <w:sz w:val="24"/>
              </w:rPr>
              <w:t>服务对象</w:t>
            </w:r>
          </w:p>
        </w:tc>
        <w:tc>
          <w:tcPr>
            <w:tcW w:w="2258" w:type="dxa"/>
            <w:gridSpan w:val="6"/>
          </w:tcPr>
          <w:p>
            <w:pPr>
              <w:spacing w:line="540" w:lineRule="exact"/>
              <w:jc w:val="left"/>
              <w:rPr>
                <w:rFonts w:ascii="仿宋" w:hAnsi="仿宋" w:eastAsia="仿宋"/>
                <w:sz w:val="24"/>
              </w:rPr>
            </w:pPr>
          </w:p>
        </w:tc>
        <w:tc>
          <w:tcPr>
            <w:tcW w:w="2560" w:type="dxa"/>
            <w:gridSpan w:val="6"/>
          </w:tcPr>
          <w:p>
            <w:pPr>
              <w:spacing w:line="540" w:lineRule="exact"/>
              <w:jc w:val="center"/>
              <w:rPr>
                <w:rFonts w:ascii="仿宋" w:hAnsi="仿宋" w:eastAsia="仿宋"/>
                <w:b/>
                <w:sz w:val="24"/>
              </w:rPr>
            </w:pPr>
          </w:p>
        </w:tc>
        <w:tc>
          <w:tcPr>
            <w:tcW w:w="2133" w:type="dxa"/>
            <w:gridSpan w:val="3"/>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29" w:type="dxa"/>
            <w:gridSpan w:val="3"/>
            <w:vAlign w:val="center"/>
          </w:tcPr>
          <w:p>
            <w:pPr>
              <w:spacing w:line="540" w:lineRule="exact"/>
              <w:jc w:val="center"/>
              <w:rPr>
                <w:rFonts w:ascii="仿宋" w:hAnsi="仿宋" w:eastAsia="仿宋"/>
                <w:b/>
                <w:sz w:val="24"/>
              </w:rPr>
            </w:pPr>
            <w:r>
              <w:rPr>
                <w:rFonts w:hint="eastAsia" w:ascii="仿宋" w:hAnsi="仿宋" w:eastAsia="仿宋"/>
                <w:b/>
                <w:sz w:val="24"/>
              </w:rPr>
              <w:t>预计直接服务人数</w:t>
            </w:r>
          </w:p>
        </w:tc>
        <w:tc>
          <w:tcPr>
            <w:tcW w:w="2272" w:type="dxa"/>
            <w:gridSpan w:val="7"/>
            <w:vAlign w:val="center"/>
          </w:tcPr>
          <w:p>
            <w:pPr>
              <w:spacing w:line="540" w:lineRule="exact"/>
              <w:jc w:val="center"/>
              <w:rPr>
                <w:rFonts w:ascii="仿宋" w:hAnsi="仿宋" w:eastAsia="仿宋"/>
                <w:b/>
                <w:sz w:val="24"/>
              </w:rPr>
            </w:pPr>
          </w:p>
        </w:tc>
        <w:tc>
          <w:tcPr>
            <w:tcW w:w="2546" w:type="dxa"/>
            <w:gridSpan w:val="5"/>
            <w:vAlign w:val="center"/>
          </w:tcPr>
          <w:p>
            <w:pPr>
              <w:spacing w:line="540" w:lineRule="exact"/>
              <w:jc w:val="center"/>
              <w:rPr>
                <w:rFonts w:ascii="仿宋" w:hAnsi="仿宋" w:eastAsia="仿宋"/>
                <w:b/>
                <w:sz w:val="24"/>
              </w:rPr>
            </w:pPr>
            <w:r>
              <w:rPr>
                <w:rFonts w:hint="eastAsia" w:ascii="仿宋" w:hAnsi="仿宋" w:eastAsia="仿宋"/>
                <w:b/>
                <w:sz w:val="24"/>
              </w:rPr>
              <w:t>预计间接受益人数</w:t>
            </w:r>
          </w:p>
        </w:tc>
        <w:tc>
          <w:tcPr>
            <w:tcW w:w="2133" w:type="dxa"/>
            <w:gridSpan w:val="3"/>
            <w:vAlign w:val="center"/>
          </w:tcPr>
          <w:p>
            <w:pPr>
              <w:spacing w:line="54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80" w:type="dxa"/>
            <w:gridSpan w:val="18"/>
            <w:vAlign w:val="center"/>
          </w:tcPr>
          <w:p>
            <w:pPr>
              <w:spacing w:line="540" w:lineRule="exact"/>
              <w:jc w:val="center"/>
              <w:rPr>
                <w:rFonts w:ascii="仿宋" w:hAnsi="仿宋" w:eastAsia="仿宋"/>
                <w:b/>
                <w:sz w:val="24"/>
              </w:rPr>
            </w:pPr>
            <w:r>
              <w:rPr>
                <w:rFonts w:hint="eastAsia" w:ascii="仿宋" w:hAnsi="仿宋" w:eastAsia="仿宋"/>
                <w:b/>
                <w:sz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gridSpan w:val="2"/>
            <w:vMerge w:val="restart"/>
            <w:vAlign w:val="center"/>
          </w:tcPr>
          <w:p>
            <w:pPr>
              <w:spacing w:line="540" w:lineRule="exact"/>
              <w:rPr>
                <w:rFonts w:ascii="仿宋" w:hAnsi="仿宋" w:eastAsia="仿宋"/>
                <w:b/>
                <w:sz w:val="24"/>
              </w:rPr>
            </w:pPr>
            <w:r>
              <w:rPr>
                <w:rFonts w:hint="eastAsia" w:ascii="仿宋" w:hAnsi="仿宋" w:eastAsia="仿宋"/>
                <w:b/>
                <w:sz w:val="24"/>
              </w:rPr>
              <w:t>资金总体情 况</w:t>
            </w:r>
          </w:p>
        </w:tc>
        <w:tc>
          <w:tcPr>
            <w:tcW w:w="4249" w:type="dxa"/>
            <w:gridSpan w:val="10"/>
            <w:vAlign w:val="center"/>
          </w:tcPr>
          <w:p>
            <w:pPr>
              <w:spacing w:line="540" w:lineRule="exact"/>
              <w:ind w:left="795"/>
              <w:rPr>
                <w:rFonts w:ascii="仿宋" w:hAnsi="仿宋" w:eastAsia="仿宋"/>
                <w:b/>
                <w:sz w:val="24"/>
              </w:rPr>
            </w:pPr>
            <w:r>
              <w:rPr>
                <w:rFonts w:hint="eastAsia" w:ascii="仿宋" w:hAnsi="仿宋" w:eastAsia="仿宋"/>
                <w:b/>
                <w:sz w:val="24"/>
              </w:rPr>
              <w:t>资金来源</w:t>
            </w:r>
          </w:p>
        </w:tc>
        <w:tc>
          <w:tcPr>
            <w:tcW w:w="3972" w:type="dxa"/>
            <w:gridSpan w:val="6"/>
            <w:vAlign w:val="center"/>
          </w:tcPr>
          <w:p>
            <w:pPr>
              <w:spacing w:line="540" w:lineRule="exact"/>
              <w:jc w:val="center"/>
              <w:rPr>
                <w:rFonts w:ascii="仿宋" w:hAnsi="仿宋" w:eastAsia="仿宋"/>
                <w:b/>
                <w:sz w:val="24"/>
              </w:rPr>
            </w:pPr>
            <w:r>
              <w:rPr>
                <w:rFonts w:hint="eastAsia" w:ascii="仿宋" w:hAnsi="仿宋" w:eastAsia="仿宋"/>
                <w:b/>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gridSpan w:val="2"/>
            <w:vMerge w:val="continue"/>
            <w:vAlign w:val="center"/>
          </w:tcPr>
          <w:p>
            <w:pPr>
              <w:spacing w:line="540" w:lineRule="exact"/>
              <w:ind w:firstLine="843" w:firstLineChars="350"/>
              <w:rPr>
                <w:rFonts w:ascii="仿宋" w:hAnsi="仿宋" w:eastAsia="仿宋"/>
                <w:b/>
                <w:sz w:val="24"/>
              </w:rPr>
            </w:pPr>
          </w:p>
        </w:tc>
        <w:tc>
          <w:tcPr>
            <w:tcW w:w="4249" w:type="dxa"/>
            <w:gridSpan w:val="10"/>
            <w:vAlign w:val="center"/>
          </w:tcPr>
          <w:p>
            <w:pPr>
              <w:spacing w:line="540" w:lineRule="exact"/>
              <w:rPr>
                <w:rFonts w:ascii="仿宋" w:hAnsi="仿宋" w:eastAsia="仿宋"/>
                <w:b/>
                <w:sz w:val="24"/>
              </w:rPr>
            </w:pPr>
            <w:r>
              <w:rPr>
                <w:rFonts w:hint="eastAsia" w:ascii="仿宋" w:hAnsi="仿宋" w:eastAsia="仿宋"/>
                <w:b/>
                <w:sz w:val="24"/>
              </w:rPr>
              <w:t>申报资金（福利彩票公益金）</w:t>
            </w:r>
          </w:p>
        </w:tc>
        <w:tc>
          <w:tcPr>
            <w:tcW w:w="3972"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59" w:type="dxa"/>
            <w:gridSpan w:val="2"/>
            <w:vMerge w:val="continue"/>
            <w:vAlign w:val="center"/>
          </w:tcPr>
          <w:p>
            <w:pPr>
              <w:spacing w:line="540" w:lineRule="exact"/>
              <w:ind w:firstLine="843" w:firstLineChars="350"/>
              <w:rPr>
                <w:rFonts w:ascii="仿宋" w:hAnsi="仿宋" w:eastAsia="仿宋"/>
                <w:b/>
                <w:sz w:val="24"/>
              </w:rPr>
            </w:pPr>
          </w:p>
        </w:tc>
        <w:tc>
          <w:tcPr>
            <w:tcW w:w="1973" w:type="dxa"/>
            <w:gridSpan w:val="2"/>
            <w:vMerge w:val="restart"/>
            <w:vAlign w:val="center"/>
          </w:tcPr>
          <w:p>
            <w:pPr>
              <w:spacing w:line="540" w:lineRule="exact"/>
              <w:rPr>
                <w:rFonts w:ascii="仿宋" w:hAnsi="仿宋" w:eastAsia="仿宋"/>
                <w:b/>
                <w:sz w:val="24"/>
              </w:rPr>
            </w:pPr>
            <w:r>
              <w:rPr>
                <w:rFonts w:hint="eastAsia" w:ascii="仿宋" w:hAnsi="仿宋" w:eastAsia="仿宋"/>
                <w:b/>
                <w:sz w:val="24"/>
              </w:rPr>
              <w:t>配套资金</w:t>
            </w:r>
          </w:p>
        </w:tc>
        <w:tc>
          <w:tcPr>
            <w:tcW w:w="2276" w:type="dxa"/>
            <w:gridSpan w:val="8"/>
            <w:vAlign w:val="center"/>
          </w:tcPr>
          <w:p>
            <w:pPr>
              <w:spacing w:line="540" w:lineRule="exact"/>
              <w:rPr>
                <w:rFonts w:ascii="仿宋" w:hAnsi="仿宋" w:eastAsia="仿宋"/>
                <w:b/>
                <w:sz w:val="24"/>
              </w:rPr>
            </w:pPr>
            <w:r>
              <w:rPr>
                <w:rFonts w:hint="eastAsia" w:ascii="仿宋" w:hAnsi="仿宋" w:eastAsia="仿宋"/>
                <w:b/>
                <w:sz w:val="24"/>
              </w:rPr>
              <w:t>自有资金</w:t>
            </w:r>
          </w:p>
        </w:tc>
        <w:tc>
          <w:tcPr>
            <w:tcW w:w="3972"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gridSpan w:val="2"/>
            <w:vMerge w:val="continue"/>
            <w:vAlign w:val="center"/>
          </w:tcPr>
          <w:p>
            <w:pPr>
              <w:spacing w:line="540" w:lineRule="exact"/>
              <w:ind w:firstLine="843" w:firstLineChars="350"/>
              <w:rPr>
                <w:rFonts w:ascii="仿宋" w:hAnsi="仿宋" w:eastAsia="仿宋"/>
                <w:b/>
                <w:sz w:val="24"/>
              </w:rPr>
            </w:pPr>
          </w:p>
        </w:tc>
        <w:tc>
          <w:tcPr>
            <w:tcW w:w="1973" w:type="dxa"/>
            <w:gridSpan w:val="2"/>
            <w:vMerge w:val="continue"/>
            <w:vAlign w:val="center"/>
          </w:tcPr>
          <w:p>
            <w:pPr>
              <w:spacing w:line="540" w:lineRule="exact"/>
              <w:rPr>
                <w:rFonts w:ascii="仿宋" w:hAnsi="仿宋" w:eastAsia="仿宋"/>
                <w:b/>
                <w:sz w:val="24"/>
              </w:rPr>
            </w:pPr>
          </w:p>
        </w:tc>
        <w:tc>
          <w:tcPr>
            <w:tcW w:w="2276" w:type="dxa"/>
            <w:gridSpan w:val="8"/>
            <w:vAlign w:val="center"/>
          </w:tcPr>
          <w:p>
            <w:pPr>
              <w:spacing w:line="540" w:lineRule="exact"/>
              <w:rPr>
                <w:rFonts w:ascii="仿宋" w:hAnsi="仿宋" w:eastAsia="仿宋"/>
                <w:b/>
                <w:sz w:val="24"/>
              </w:rPr>
            </w:pPr>
            <w:r>
              <w:rPr>
                <w:rFonts w:hint="eastAsia" w:ascii="仿宋" w:hAnsi="仿宋" w:eastAsia="仿宋"/>
                <w:b/>
                <w:sz w:val="24"/>
              </w:rPr>
              <w:t>社会募集资金</w:t>
            </w:r>
          </w:p>
        </w:tc>
        <w:tc>
          <w:tcPr>
            <w:tcW w:w="3972"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rPr>
                <w:rFonts w:ascii="仿宋" w:hAnsi="仿宋" w:eastAsia="仿宋"/>
                <w:b/>
                <w:sz w:val="24"/>
              </w:rPr>
            </w:pPr>
          </w:p>
        </w:tc>
        <w:tc>
          <w:tcPr>
            <w:tcW w:w="1973" w:type="dxa"/>
            <w:gridSpan w:val="2"/>
            <w:vMerge w:val="continue"/>
            <w:vAlign w:val="center"/>
          </w:tcPr>
          <w:p>
            <w:pPr>
              <w:spacing w:line="540" w:lineRule="exact"/>
              <w:rPr>
                <w:rFonts w:ascii="仿宋" w:hAnsi="仿宋" w:eastAsia="仿宋"/>
                <w:b/>
                <w:sz w:val="24"/>
              </w:rPr>
            </w:pPr>
          </w:p>
        </w:tc>
        <w:tc>
          <w:tcPr>
            <w:tcW w:w="2276" w:type="dxa"/>
            <w:gridSpan w:val="8"/>
            <w:vAlign w:val="center"/>
          </w:tcPr>
          <w:p>
            <w:pPr>
              <w:spacing w:line="540" w:lineRule="exact"/>
              <w:rPr>
                <w:rFonts w:ascii="仿宋" w:hAnsi="仿宋" w:eastAsia="仿宋"/>
                <w:b/>
                <w:sz w:val="24"/>
              </w:rPr>
            </w:pPr>
            <w:r>
              <w:rPr>
                <w:rFonts w:hint="eastAsia" w:ascii="仿宋" w:hAnsi="仿宋" w:eastAsia="仿宋"/>
                <w:b/>
                <w:sz w:val="24"/>
              </w:rPr>
              <w:t>其它资金</w:t>
            </w:r>
          </w:p>
        </w:tc>
        <w:tc>
          <w:tcPr>
            <w:tcW w:w="3972"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rPr>
                <w:rFonts w:ascii="仿宋" w:hAnsi="仿宋" w:eastAsia="仿宋"/>
                <w:b/>
                <w:sz w:val="24"/>
              </w:rPr>
            </w:pPr>
          </w:p>
        </w:tc>
        <w:tc>
          <w:tcPr>
            <w:tcW w:w="4249" w:type="dxa"/>
            <w:gridSpan w:val="10"/>
            <w:vAlign w:val="center"/>
          </w:tcPr>
          <w:p>
            <w:pPr>
              <w:spacing w:line="540" w:lineRule="exact"/>
              <w:jc w:val="center"/>
              <w:rPr>
                <w:rFonts w:ascii="仿宋" w:hAnsi="仿宋" w:eastAsia="仿宋"/>
                <w:b/>
                <w:sz w:val="24"/>
              </w:rPr>
            </w:pPr>
            <w:r>
              <w:rPr>
                <w:rFonts w:hint="eastAsia" w:ascii="仿宋" w:hAnsi="仿宋" w:eastAsia="仿宋"/>
                <w:b/>
                <w:sz w:val="24"/>
              </w:rPr>
              <w:t>资金总额合计</w:t>
            </w:r>
          </w:p>
        </w:tc>
        <w:tc>
          <w:tcPr>
            <w:tcW w:w="3972"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restart"/>
            <w:vAlign w:val="center"/>
          </w:tcPr>
          <w:p>
            <w:pPr>
              <w:spacing w:line="540" w:lineRule="exact"/>
              <w:jc w:val="center"/>
              <w:rPr>
                <w:rFonts w:ascii="仿宋" w:hAnsi="仿宋" w:eastAsia="仿宋"/>
                <w:b/>
                <w:sz w:val="24"/>
              </w:rPr>
            </w:pPr>
            <w:r>
              <w:rPr>
                <w:rFonts w:hint="eastAsia" w:ascii="仿宋" w:hAnsi="仿宋" w:eastAsia="仿宋"/>
                <w:b/>
                <w:sz w:val="24"/>
              </w:rPr>
              <w:t>申报资金支出明 细</w:t>
            </w:r>
          </w:p>
        </w:tc>
        <w:tc>
          <w:tcPr>
            <w:tcW w:w="2265" w:type="dxa"/>
            <w:gridSpan w:val="3"/>
            <w:vAlign w:val="center"/>
          </w:tcPr>
          <w:p>
            <w:pPr>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项    目</w:t>
            </w:r>
          </w:p>
        </w:tc>
        <w:tc>
          <w:tcPr>
            <w:tcW w:w="992" w:type="dxa"/>
            <w:gridSpan w:val="2"/>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单位</w:t>
            </w:r>
          </w:p>
        </w:tc>
        <w:tc>
          <w:tcPr>
            <w:tcW w:w="992" w:type="dxa"/>
            <w:gridSpan w:val="5"/>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数量</w:t>
            </w:r>
          </w:p>
        </w:tc>
        <w:tc>
          <w:tcPr>
            <w:tcW w:w="1985" w:type="dxa"/>
            <w:gridSpan w:val="4"/>
            <w:vAlign w:val="center"/>
          </w:tcPr>
          <w:p>
            <w:pPr>
              <w:widowControl/>
              <w:spacing w:line="540" w:lineRule="exact"/>
              <w:jc w:val="center"/>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标准（单价：万元）</w:t>
            </w:r>
          </w:p>
        </w:tc>
        <w:tc>
          <w:tcPr>
            <w:tcW w:w="1987" w:type="dxa"/>
            <w:gridSpan w:val="2"/>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jc w:val="center"/>
              <w:rPr>
                <w:rFonts w:ascii="仿宋" w:hAnsi="仿宋" w:eastAsia="仿宋"/>
                <w:b/>
                <w:sz w:val="24"/>
              </w:rPr>
            </w:pPr>
          </w:p>
        </w:tc>
        <w:tc>
          <w:tcPr>
            <w:tcW w:w="2265" w:type="dxa"/>
            <w:gridSpan w:val="3"/>
            <w:vAlign w:val="center"/>
          </w:tcPr>
          <w:p>
            <w:pPr>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一、社会服务支出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jc w:val="center"/>
              <w:rPr>
                <w:rFonts w:ascii="仿宋" w:hAnsi="仿宋" w:eastAsia="仿宋"/>
                <w:b/>
                <w:sz w:val="24"/>
              </w:rPr>
            </w:pPr>
          </w:p>
        </w:tc>
        <w:tc>
          <w:tcPr>
            <w:tcW w:w="2265" w:type="dxa"/>
            <w:gridSpan w:val="3"/>
            <w:vAlign w:val="center"/>
          </w:tcPr>
          <w:p>
            <w:pPr>
              <w:spacing w:line="540" w:lineRule="exact"/>
              <w:textAlignment w:val="center"/>
              <w:rPr>
                <w:rFonts w:ascii="仿宋" w:hAnsi="仿宋" w:eastAsia="仿宋" w:cs="宋体"/>
                <w:b/>
                <w:kern w:val="0"/>
                <w:sz w:val="24"/>
                <w:shd w:val="clear" w:color="auto" w:fill="FFFFFF"/>
              </w:rPr>
            </w:pPr>
            <w:r>
              <w:rPr>
                <w:rFonts w:hint="eastAsia" w:ascii="仿宋" w:hAnsi="仿宋" w:eastAsia="仿宋" w:cs="宋体"/>
                <w:b/>
                <w:spacing w:val="-20"/>
                <w:kern w:val="0"/>
                <w:sz w:val="24"/>
                <w:shd w:val="clear" w:color="auto" w:fill="FFFFFF"/>
              </w:rPr>
              <w:t>（一）开展服务支出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jc w:val="center"/>
              <w:rPr>
                <w:rFonts w:ascii="仿宋" w:hAnsi="仿宋" w:eastAsia="仿宋"/>
                <w:b/>
                <w:sz w:val="24"/>
              </w:rPr>
            </w:pPr>
          </w:p>
        </w:tc>
        <w:tc>
          <w:tcPr>
            <w:tcW w:w="2265"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jc w:val="center"/>
              <w:rPr>
                <w:rFonts w:ascii="仿宋" w:hAnsi="仿宋" w:eastAsia="仿宋"/>
                <w:b/>
                <w:sz w:val="24"/>
              </w:rPr>
            </w:pPr>
          </w:p>
        </w:tc>
        <w:tc>
          <w:tcPr>
            <w:tcW w:w="2265" w:type="dxa"/>
            <w:gridSpan w:val="3"/>
            <w:vAlign w:val="center"/>
          </w:tcPr>
          <w:p>
            <w:pPr>
              <w:spacing w:line="540" w:lineRule="exac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（二）发放款物支出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jc w:val="center"/>
              <w:rPr>
                <w:rFonts w:ascii="仿宋" w:hAnsi="仿宋" w:eastAsia="仿宋"/>
                <w:b/>
                <w:sz w:val="24"/>
              </w:rPr>
            </w:pPr>
          </w:p>
        </w:tc>
        <w:tc>
          <w:tcPr>
            <w:tcW w:w="2265"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jc w:val="center"/>
              <w:rPr>
                <w:rFonts w:ascii="仿宋" w:hAnsi="仿宋" w:eastAsia="仿宋"/>
                <w:b/>
                <w:sz w:val="24"/>
              </w:rPr>
            </w:pPr>
          </w:p>
        </w:tc>
        <w:tc>
          <w:tcPr>
            <w:tcW w:w="2265" w:type="dxa"/>
            <w:gridSpan w:val="3"/>
            <w:vAlign w:val="center"/>
          </w:tcPr>
          <w:p>
            <w:pPr>
              <w:spacing w:line="540" w:lineRule="exac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二、项目执行费用</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jc w:val="center"/>
              <w:rPr>
                <w:rFonts w:ascii="仿宋" w:hAnsi="仿宋" w:eastAsia="仿宋"/>
                <w:b/>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1.交通费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3" w:firstLineChars="350"/>
              <w:jc w:val="center"/>
              <w:rPr>
                <w:rFonts w:ascii="仿宋" w:hAnsi="仿宋" w:eastAsia="仿宋"/>
                <w:b/>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2.会议费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3.印刷宣传费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4.其他费用</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8221" w:type="dxa"/>
            <w:gridSpan w:val="16"/>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资金支出计划总额：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restart"/>
            <w:vAlign w:val="center"/>
          </w:tcPr>
          <w:p>
            <w:pPr>
              <w:spacing w:line="540" w:lineRule="exact"/>
              <w:rPr>
                <w:rFonts w:ascii="仿宋" w:hAnsi="仿宋" w:eastAsia="仿宋"/>
                <w:b/>
                <w:sz w:val="24"/>
              </w:rPr>
            </w:pPr>
            <w:r>
              <w:rPr>
                <w:rFonts w:hint="eastAsia" w:ascii="仿宋" w:hAnsi="仿宋" w:eastAsia="仿宋"/>
                <w:b/>
                <w:sz w:val="24"/>
              </w:rPr>
              <w:t>配套资金支出明 细</w:t>
            </w:r>
          </w:p>
        </w:tc>
        <w:tc>
          <w:tcPr>
            <w:tcW w:w="2265" w:type="dxa"/>
            <w:gridSpan w:val="3"/>
            <w:vAlign w:val="center"/>
          </w:tcPr>
          <w:p>
            <w:pPr>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项    目</w:t>
            </w:r>
          </w:p>
        </w:tc>
        <w:tc>
          <w:tcPr>
            <w:tcW w:w="992" w:type="dxa"/>
            <w:gridSpan w:val="2"/>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单位</w:t>
            </w:r>
          </w:p>
        </w:tc>
        <w:tc>
          <w:tcPr>
            <w:tcW w:w="992" w:type="dxa"/>
            <w:gridSpan w:val="5"/>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数量</w:t>
            </w:r>
          </w:p>
        </w:tc>
        <w:tc>
          <w:tcPr>
            <w:tcW w:w="1985" w:type="dxa"/>
            <w:gridSpan w:val="4"/>
            <w:vAlign w:val="center"/>
          </w:tcPr>
          <w:p>
            <w:pPr>
              <w:widowControl/>
              <w:spacing w:line="540" w:lineRule="exact"/>
              <w:jc w:val="center"/>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标准（单价：元）</w:t>
            </w:r>
          </w:p>
        </w:tc>
        <w:tc>
          <w:tcPr>
            <w:tcW w:w="1987" w:type="dxa"/>
            <w:gridSpan w:val="2"/>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一、社会服务支出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textAlignment w:val="center"/>
              <w:rPr>
                <w:rFonts w:ascii="仿宋" w:hAnsi="仿宋" w:eastAsia="仿宋" w:cs="宋体"/>
                <w:b/>
                <w:kern w:val="0"/>
                <w:sz w:val="24"/>
                <w:shd w:val="clear" w:color="auto" w:fill="FFFFFF"/>
              </w:rPr>
            </w:pPr>
            <w:r>
              <w:rPr>
                <w:rFonts w:hint="eastAsia" w:ascii="仿宋" w:hAnsi="仿宋" w:eastAsia="仿宋" w:cs="宋体"/>
                <w:b/>
                <w:spacing w:val="-20"/>
                <w:kern w:val="0"/>
                <w:sz w:val="24"/>
                <w:shd w:val="clear" w:color="auto" w:fill="FFFFFF"/>
              </w:rPr>
              <w:t>（一）开展服务支出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（二）发放款物支出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二、项目执行费用</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1.交通费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2.会议费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3.印刷宣传费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4.其他费用</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2265"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5"/>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7"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Merge w:val="continue"/>
            <w:vAlign w:val="center"/>
          </w:tcPr>
          <w:p>
            <w:pPr>
              <w:spacing w:line="540" w:lineRule="exact"/>
              <w:ind w:firstLine="840" w:firstLineChars="350"/>
              <w:rPr>
                <w:rFonts w:ascii="仿宋" w:hAnsi="仿宋" w:eastAsia="仿宋"/>
                <w:sz w:val="24"/>
              </w:rPr>
            </w:pPr>
          </w:p>
        </w:tc>
        <w:tc>
          <w:tcPr>
            <w:tcW w:w="8221" w:type="dxa"/>
            <w:gridSpan w:val="16"/>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配套资金支出计划总额：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gridSpan w:val="2"/>
            <w:vAlign w:val="center"/>
          </w:tcPr>
          <w:p>
            <w:pPr>
              <w:spacing w:line="540" w:lineRule="exact"/>
              <w:rPr>
                <w:rFonts w:ascii="仿宋" w:hAnsi="仿宋" w:eastAsia="仿宋"/>
                <w:b/>
                <w:sz w:val="24"/>
              </w:rPr>
            </w:pPr>
            <w:r>
              <w:rPr>
                <w:rFonts w:hint="eastAsia" w:ascii="仿宋" w:hAnsi="仿宋" w:eastAsia="仿宋"/>
                <w:b/>
                <w:sz w:val="24"/>
              </w:rPr>
              <w:t xml:space="preserve">承 接 </w:t>
            </w:r>
          </w:p>
          <w:p>
            <w:pPr>
              <w:spacing w:line="540" w:lineRule="exact"/>
              <w:rPr>
                <w:rFonts w:ascii="仿宋" w:hAnsi="仿宋" w:eastAsia="仿宋"/>
                <w:b/>
                <w:sz w:val="24"/>
              </w:rPr>
            </w:pPr>
            <w:r>
              <w:rPr>
                <w:rFonts w:hint="eastAsia" w:ascii="仿宋" w:hAnsi="仿宋" w:eastAsia="仿宋"/>
                <w:b/>
                <w:sz w:val="24"/>
              </w:rPr>
              <w:t>单 位</w:t>
            </w:r>
          </w:p>
          <w:p>
            <w:pPr>
              <w:spacing w:line="540" w:lineRule="exact"/>
              <w:rPr>
                <w:rFonts w:ascii="仿宋" w:hAnsi="仿宋" w:eastAsia="仿宋"/>
                <w:b/>
                <w:sz w:val="24"/>
              </w:rPr>
            </w:pPr>
            <w:r>
              <w:rPr>
                <w:rFonts w:hint="eastAsia" w:ascii="仿宋" w:hAnsi="仿宋" w:eastAsia="仿宋"/>
                <w:b/>
                <w:sz w:val="24"/>
              </w:rPr>
              <w:t>承 诺</w:t>
            </w:r>
          </w:p>
        </w:tc>
        <w:tc>
          <w:tcPr>
            <w:tcW w:w="8221" w:type="dxa"/>
            <w:gridSpan w:val="16"/>
            <w:vAlign w:val="center"/>
          </w:tcPr>
          <w:p>
            <w:pPr>
              <w:widowControl/>
              <w:spacing w:line="560" w:lineRule="exact"/>
              <w:ind w:firstLine="480" w:firstLineChars="200"/>
              <w:jc w:val="left"/>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我单位保证所提供材料的真实、合法、有效性，已制定项目实施计划、方案，确保项目如期完成。将按法律、法规有关规定，接受项目监管、审计和评估，并承担相应责任。</w:t>
            </w:r>
          </w:p>
          <w:p>
            <w:pPr>
              <w:widowControl/>
              <w:spacing w:line="560" w:lineRule="exact"/>
              <w:ind w:firstLine="470" w:firstLineChars="196"/>
              <w:textAlignment w:val="center"/>
              <w:rPr>
                <w:rFonts w:ascii="仿宋" w:hAnsi="仿宋" w:eastAsia="仿宋" w:cs="宋体"/>
                <w:kern w:val="0"/>
                <w:sz w:val="24"/>
                <w:shd w:val="clear" w:color="auto" w:fill="FFFFFF"/>
              </w:rPr>
            </w:pPr>
          </w:p>
          <w:p>
            <w:pPr>
              <w:widowControl/>
              <w:spacing w:line="540" w:lineRule="exact"/>
              <w:ind w:firstLine="470" w:firstLineChars="196"/>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法定代表人签字：                          （单位盖章）</w:t>
            </w:r>
          </w:p>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kern w:val="0"/>
                <w:sz w:val="24"/>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59" w:type="dxa"/>
            <w:gridSpan w:val="2"/>
          </w:tcPr>
          <w:p>
            <w:pPr>
              <w:spacing w:line="600" w:lineRule="exact"/>
              <w:jc w:val="center"/>
              <w:rPr>
                <w:rFonts w:ascii="黑体" w:hAnsi="黑体" w:eastAsia="黑体"/>
                <w:color w:val="000000"/>
                <w:sz w:val="32"/>
                <w:szCs w:val="32"/>
              </w:rPr>
            </w:pPr>
            <w:r>
              <w:rPr>
                <w:rFonts w:hint="eastAsia" w:ascii="仿宋" w:hAnsi="仿宋" w:eastAsia="仿宋"/>
                <w:b/>
                <w:sz w:val="24"/>
              </w:rPr>
              <w:t>项 目实 施 地意见</w:t>
            </w:r>
          </w:p>
        </w:tc>
        <w:tc>
          <w:tcPr>
            <w:tcW w:w="8221" w:type="dxa"/>
            <w:gridSpan w:val="16"/>
          </w:tcPr>
          <w:p>
            <w:pPr>
              <w:widowControl/>
              <w:spacing w:line="540" w:lineRule="exact"/>
              <w:ind w:firstLine="470" w:firstLineChars="196"/>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 xml:space="preserve">                             </w:t>
            </w:r>
          </w:p>
          <w:p>
            <w:pPr>
              <w:widowControl/>
              <w:spacing w:line="540" w:lineRule="exact"/>
              <w:ind w:firstLine="470" w:firstLineChars="196"/>
              <w:textAlignment w:val="center"/>
              <w:rPr>
                <w:rFonts w:ascii="仿宋" w:hAnsi="仿宋" w:eastAsia="仿宋" w:cs="宋体"/>
                <w:kern w:val="0"/>
                <w:sz w:val="24"/>
                <w:shd w:val="clear" w:color="auto" w:fill="FFFFFF"/>
              </w:rPr>
            </w:pPr>
          </w:p>
          <w:p>
            <w:pPr>
              <w:widowControl/>
              <w:spacing w:line="540" w:lineRule="exact"/>
              <w:ind w:firstLine="470" w:firstLineChars="196"/>
              <w:textAlignment w:val="center"/>
              <w:rPr>
                <w:rFonts w:ascii="仿宋" w:hAnsi="仿宋" w:eastAsia="仿宋" w:cs="宋体"/>
                <w:kern w:val="0"/>
                <w:sz w:val="24"/>
                <w:shd w:val="clear" w:color="auto" w:fill="FFFFFF"/>
              </w:rPr>
            </w:pPr>
          </w:p>
          <w:p>
            <w:pPr>
              <w:widowControl/>
              <w:spacing w:line="540" w:lineRule="exact"/>
              <w:ind w:firstLine="3948" w:firstLineChars="1645"/>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（单位盖章）</w:t>
            </w:r>
          </w:p>
          <w:p>
            <w:pPr>
              <w:spacing w:line="600" w:lineRule="exact"/>
              <w:rPr>
                <w:rFonts w:ascii="黑体" w:hAnsi="黑体" w:eastAsia="黑体"/>
                <w:color w:val="000000"/>
                <w:sz w:val="32"/>
                <w:szCs w:val="32"/>
              </w:rPr>
            </w:pPr>
            <w:r>
              <w:rPr>
                <w:rFonts w:hint="eastAsia" w:ascii="仿宋" w:hAnsi="仿宋" w:eastAsia="仿宋" w:cs="宋体"/>
                <w:kern w:val="0"/>
                <w:sz w:val="24"/>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945" w:type="dxa"/>
          </w:tcPr>
          <w:p>
            <w:pPr>
              <w:spacing w:line="600" w:lineRule="exact"/>
              <w:jc w:val="center"/>
              <w:rPr>
                <w:rFonts w:ascii="仿宋" w:hAnsi="仿宋" w:eastAsia="仿宋"/>
                <w:b/>
                <w:color w:val="000000"/>
                <w:sz w:val="24"/>
              </w:rPr>
            </w:pPr>
            <w:r>
              <w:rPr>
                <w:rFonts w:hint="eastAsia" w:ascii="仿宋" w:hAnsi="仿宋" w:eastAsia="仿宋"/>
                <w:b/>
                <w:color w:val="000000"/>
                <w:sz w:val="24"/>
              </w:rPr>
              <w:t>省民政厅相关业务处室（局）审核意见</w:t>
            </w:r>
          </w:p>
        </w:tc>
        <w:tc>
          <w:tcPr>
            <w:tcW w:w="8235" w:type="dxa"/>
            <w:gridSpan w:val="17"/>
          </w:tcPr>
          <w:p>
            <w:pPr>
              <w:widowControl/>
              <w:spacing w:line="540" w:lineRule="exact"/>
              <w:ind w:firstLine="5268" w:firstLineChars="2195"/>
              <w:textAlignment w:val="center"/>
              <w:rPr>
                <w:rFonts w:ascii="仿宋" w:hAnsi="仿宋" w:eastAsia="仿宋" w:cs="宋体"/>
                <w:kern w:val="0"/>
                <w:sz w:val="24"/>
                <w:shd w:val="clear" w:color="auto" w:fill="FFFFFF"/>
              </w:rPr>
            </w:pPr>
          </w:p>
          <w:p>
            <w:pPr>
              <w:widowControl/>
              <w:spacing w:line="540" w:lineRule="exact"/>
              <w:ind w:firstLine="5268" w:firstLineChars="2195"/>
              <w:textAlignment w:val="center"/>
              <w:rPr>
                <w:rFonts w:ascii="仿宋" w:hAnsi="仿宋" w:eastAsia="仿宋" w:cs="宋体"/>
                <w:kern w:val="0"/>
                <w:sz w:val="24"/>
                <w:shd w:val="clear" w:color="auto" w:fill="FFFFFF"/>
              </w:rPr>
            </w:pPr>
          </w:p>
          <w:p>
            <w:pPr>
              <w:widowControl/>
              <w:spacing w:line="540" w:lineRule="exact"/>
              <w:ind w:firstLine="5268" w:firstLineChars="2195"/>
              <w:textAlignment w:val="center"/>
              <w:rPr>
                <w:rFonts w:ascii="仿宋" w:hAnsi="仿宋" w:eastAsia="仿宋" w:cs="宋体"/>
                <w:kern w:val="0"/>
                <w:sz w:val="24"/>
                <w:shd w:val="clear" w:color="auto" w:fill="FFFFFF"/>
              </w:rPr>
            </w:pPr>
          </w:p>
          <w:p>
            <w:pPr>
              <w:widowControl/>
              <w:spacing w:line="540" w:lineRule="exact"/>
              <w:ind w:firstLine="5268" w:firstLineChars="2195"/>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（单位盖章）</w:t>
            </w:r>
          </w:p>
          <w:p>
            <w:pPr>
              <w:spacing w:line="600" w:lineRule="exact"/>
              <w:jc w:val="center"/>
              <w:rPr>
                <w:rFonts w:ascii="黑体" w:hAnsi="黑体" w:eastAsia="黑体"/>
                <w:color w:val="000000"/>
                <w:sz w:val="32"/>
                <w:szCs w:val="32"/>
              </w:rPr>
            </w:pPr>
            <w:r>
              <w:rPr>
                <w:rFonts w:hint="eastAsia" w:ascii="仿宋" w:hAnsi="仿宋" w:eastAsia="仿宋" w:cs="宋体"/>
                <w:kern w:val="0"/>
                <w:sz w:val="24"/>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45" w:type="dxa"/>
          </w:tcPr>
          <w:p>
            <w:pPr>
              <w:spacing w:line="600" w:lineRule="exact"/>
              <w:jc w:val="center"/>
              <w:rPr>
                <w:rFonts w:ascii="仿宋" w:hAnsi="仿宋" w:eastAsia="仿宋"/>
                <w:b/>
                <w:color w:val="000000"/>
                <w:sz w:val="24"/>
              </w:rPr>
            </w:pPr>
            <w:r>
              <w:rPr>
                <w:rFonts w:hint="eastAsia" w:ascii="仿宋" w:hAnsi="仿宋" w:eastAsia="仿宋"/>
                <w:b/>
                <w:color w:val="000000"/>
                <w:sz w:val="24"/>
              </w:rPr>
              <w:t>省民政厅规划财务处复核意见</w:t>
            </w:r>
          </w:p>
          <w:p>
            <w:pPr>
              <w:spacing w:line="600" w:lineRule="exact"/>
              <w:jc w:val="center"/>
              <w:rPr>
                <w:rFonts w:ascii="仿宋" w:hAnsi="仿宋" w:eastAsia="仿宋"/>
                <w:b/>
                <w:color w:val="000000"/>
                <w:sz w:val="24"/>
              </w:rPr>
            </w:pPr>
          </w:p>
          <w:p>
            <w:pPr>
              <w:spacing w:line="600" w:lineRule="exact"/>
              <w:jc w:val="center"/>
              <w:rPr>
                <w:rFonts w:ascii="仿宋" w:hAnsi="仿宋" w:eastAsia="仿宋"/>
                <w:b/>
                <w:color w:val="000000"/>
                <w:sz w:val="24"/>
              </w:rPr>
            </w:pPr>
          </w:p>
        </w:tc>
        <w:tc>
          <w:tcPr>
            <w:tcW w:w="8235" w:type="dxa"/>
            <w:gridSpan w:val="17"/>
          </w:tcPr>
          <w:p>
            <w:pPr>
              <w:spacing w:line="600" w:lineRule="exact"/>
              <w:jc w:val="center"/>
              <w:rPr>
                <w:rFonts w:ascii="黑体" w:hAnsi="黑体" w:eastAsia="黑体"/>
                <w:color w:val="000000"/>
                <w:sz w:val="32"/>
                <w:szCs w:val="32"/>
              </w:rPr>
            </w:pPr>
          </w:p>
          <w:p>
            <w:pPr>
              <w:spacing w:line="600" w:lineRule="exact"/>
              <w:jc w:val="center"/>
              <w:rPr>
                <w:rFonts w:ascii="黑体" w:hAnsi="黑体" w:eastAsia="黑体"/>
                <w:color w:val="000000"/>
                <w:sz w:val="32"/>
                <w:szCs w:val="32"/>
              </w:rPr>
            </w:pPr>
          </w:p>
          <w:p>
            <w:pPr>
              <w:spacing w:line="600" w:lineRule="exact"/>
              <w:jc w:val="center"/>
              <w:rPr>
                <w:rFonts w:ascii="黑体" w:hAnsi="黑体" w:eastAsia="黑体"/>
                <w:color w:val="000000"/>
                <w:sz w:val="32"/>
                <w:szCs w:val="32"/>
              </w:rPr>
            </w:pPr>
          </w:p>
          <w:p>
            <w:pPr>
              <w:spacing w:line="600" w:lineRule="exact"/>
              <w:jc w:val="center"/>
              <w:rPr>
                <w:rFonts w:ascii="黑体" w:hAnsi="黑体" w:eastAsia="黑体"/>
                <w:color w:val="000000"/>
                <w:sz w:val="32"/>
                <w:szCs w:val="32"/>
              </w:rPr>
            </w:pPr>
          </w:p>
          <w:p>
            <w:pPr>
              <w:widowControl/>
              <w:spacing w:line="540" w:lineRule="exact"/>
              <w:ind w:firstLine="5268" w:firstLineChars="2195"/>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（单位盖章）</w:t>
            </w:r>
          </w:p>
          <w:p>
            <w:pPr>
              <w:spacing w:line="600" w:lineRule="exact"/>
              <w:jc w:val="center"/>
              <w:rPr>
                <w:rFonts w:ascii="黑体" w:hAnsi="黑体" w:eastAsia="黑体"/>
                <w:color w:val="000000"/>
                <w:sz w:val="32"/>
                <w:szCs w:val="32"/>
              </w:rPr>
            </w:pPr>
            <w:r>
              <w:rPr>
                <w:rFonts w:hint="eastAsia" w:ascii="仿宋" w:hAnsi="仿宋" w:eastAsia="仿宋" w:cs="宋体"/>
                <w:kern w:val="0"/>
                <w:sz w:val="24"/>
                <w:shd w:val="clear" w:color="auto" w:fill="FFFFFF"/>
              </w:rPr>
              <w:t xml:space="preserve">                                  年  月  日</w:t>
            </w:r>
          </w:p>
        </w:tc>
      </w:tr>
    </w:tbl>
    <w:p>
      <w:pPr>
        <w:spacing w:line="600" w:lineRule="exact"/>
        <w:rPr>
          <w:rFonts w:ascii="黑体" w:hAnsi="黑体" w:eastAsia="黑体"/>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附件1-3</w:t>
      </w:r>
    </w:p>
    <w:p>
      <w:pPr>
        <w:spacing w:line="600" w:lineRule="exact"/>
        <w:jc w:val="center"/>
        <w:rPr>
          <w:rFonts w:ascii="宋体" w:hAnsi="宋体"/>
          <w:b/>
          <w:color w:val="000000"/>
          <w:sz w:val="44"/>
          <w:szCs w:val="44"/>
        </w:rPr>
      </w:pPr>
    </w:p>
    <w:p>
      <w:pPr>
        <w:spacing w:line="6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2021年青海省民政厅向社会购买社会</w:t>
      </w:r>
    </w:p>
    <w:p>
      <w:pPr>
        <w:spacing w:line="6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服务项目</w:t>
      </w:r>
      <w:r>
        <w:rPr>
          <w:rFonts w:hint="eastAsia" w:ascii="方正小标宋_GBK" w:hAnsi="宋体" w:eastAsia="方正小标宋_GBK" w:cs="Helvetica"/>
          <w:color w:val="000000"/>
          <w:kern w:val="0"/>
          <w:sz w:val="44"/>
          <w:szCs w:val="44"/>
        </w:rPr>
        <w:t>财务指引</w:t>
      </w:r>
    </w:p>
    <w:p>
      <w:pPr>
        <w:spacing w:line="560" w:lineRule="exact"/>
        <w:ind w:firstLine="630"/>
        <w:jc w:val="left"/>
        <w:rPr>
          <w:rFonts w:ascii="仿宋" w:hAnsi="仿宋" w:eastAsia="仿宋" w:cs="Helvetica"/>
          <w:color w:val="000000"/>
          <w:kern w:val="0"/>
          <w:sz w:val="32"/>
          <w:szCs w:val="32"/>
        </w:rPr>
      </w:pPr>
    </w:p>
    <w:p>
      <w:pPr>
        <w:spacing w:line="580" w:lineRule="exact"/>
        <w:ind w:firstLine="640" w:firstLineChars="200"/>
        <w:jc w:val="left"/>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为规范青海省民政厅向社会组织购买社会服务项目资金管理，确保资金运行安全，提高资金使用效率，依据财政部 民政部关于印发《中央财政支持社会组织参与社会服务项目资金使用管理办法》（财社〔2012〕138号）（以下简称《管理办法》）和《2021年青海省民政厅向社会组织购买社会服务项目实施方案》（以下简称《实施方案》）及其他有关法规、规章，制定本指引。</w:t>
      </w:r>
    </w:p>
    <w:p>
      <w:pPr>
        <w:widowControl/>
        <w:spacing w:line="580" w:lineRule="exact"/>
        <w:ind w:firstLine="640" w:firstLineChars="200"/>
        <w:rPr>
          <w:rFonts w:ascii="黑体" w:hAnsi="黑体" w:eastAsia="黑体" w:cs="Helvetica"/>
          <w:color w:val="000000"/>
          <w:kern w:val="0"/>
          <w:sz w:val="32"/>
          <w:szCs w:val="32"/>
        </w:rPr>
      </w:pPr>
      <w:r>
        <w:rPr>
          <w:rFonts w:hint="eastAsia" w:ascii="黑体" w:hAnsi="黑体" w:eastAsia="黑体" w:cs="Helvetica"/>
          <w:bCs/>
          <w:color w:val="000000"/>
          <w:kern w:val="0"/>
          <w:sz w:val="32"/>
          <w:szCs w:val="32"/>
        </w:rPr>
        <w:t>一、基本原则</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项目资金的使用应符合《管理办法》和《实施方案》的规定，管理上应遵循以下原则：</w:t>
      </w:r>
    </w:p>
    <w:p>
      <w:pPr>
        <w:spacing w:line="580" w:lineRule="exact"/>
        <w:ind w:firstLine="643" w:firstLineChars="200"/>
        <w:rPr>
          <w:rFonts w:ascii="仿宋_GB2312" w:hAnsi="仿宋" w:eastAsia="仿宋_GB2312"/>
          <w:color w:val="000000"/>
          <w:sz w:val="32"/>
          <w:szCs w:val="32"/>
        </w:rPr>
      </w:pPr>
      <w:r>
        <w:rPr>
          <w:rFonts w:hint="eastAsia" w:ascii="楷体" w:hAnsi="楷体" w:eastAsia="楷体"/>
          <w:b/>
          <w:bCs/>
          <w:color w:val="000000"/>
          <w:sz w:val="32"/>
          <w:szCs w:val="32"/>
        </w:rPr>
        <w:t>（一）合法性：</w:t>
      </w:r>
      <w:r>
        <w:rPr>
          <w:rFonts w:hint="eastAsia" w:ascii="仿宋_GB2312" w:hAnsi="仿宋" w:eastAsia="仿宋_GB2312"/>
          <w:color w:val="000000"/>
          <w:sz w:val="32"/>
          <w:szCs w:val="32"/>
        </w:rPr>
        <w:t>项目资金的使用应遵循国家法律、法规，符合项目资金使用管理相关规定要求。</w:t>
      </w:r>
    </w:p>
    <w:p>
      <w:pPr>
        <w:spacing w:line="580" w:lineRule="exact"/>
        <w:ind w:firstLine="643" w:firstLineChars="200"/>
        <w:rPr>
          <w:rFonts w:ascii="仿宋_GB2312" w:hAnsi="仿宋" w:eastAsia="仿宋_GB2312"/>
          <w:color w:val="000000"/>
          <w:sz w:val="32"/>
          <w:szCs w:val="32"/>
        </w:rPr>
      </w:pPr>
      <w:r>
        <w:rPr>
          <w:rFonts w:hint="eastAsia" w:ascii="楷体" w:hAnsi="楷体" w:eastAsia="楷体"/>
          <w:b/>
          <w:bCs/>
          <w:color w:val="000000"/>
          <w:sz w:val="32"/>
          <w:szCs w:val="32"/>
        </w:rPr>
        <w:t>（二）专款专用：</w:t>
      </w:r>
      <w:r>
        <w:rPr>
          <w:rFonts w:hint="eastAsia" w:ascii="仿宋_GB2312" w:hAnsi="仿宋" w:eastAsia="仿宋_GB2312"/>
          <w:color w:val="000000"/>
          <w:sz w:val="32"/>
          <w:szCs w:val="32"/>
        </w:rPr>
        <w:t>项目资金使用应以项目申报的服务对象、服务内容、服务目标为依据，不得挪作他用。</w:t>
      </w:r>
    </w:p>
    <w:p>
      <w:pPr>
        <w:spacing w:line="580" w:lineRule="exact"/>
        <w:ind w:firstLine="643" w:firstLineChars="200"/>
        <w:rPr>
          <w:rFonts w:ascii="仿宋_GB2312" w:hAnsi="仿宋" w:eastAsia="仿宋_GB2312"/>
          <w:color w:val="000000"/>
          <w:sz w:val="32"/>
          <w:szCs w:val="32"/>
        </w:rPr>
      </w:pPr>
      <w:r>
        <w:rPr>
          <w:rFonts w:hint="eastAsia" w:ascii="楷体" w:hAnsi="楷体" w:eastAsia="楷体"/>
          <w:b/>
          <w:bCs/>
          <w:color w:val="000000"/>
          <w:sz w:val="32"/>
          <w:szCs w:val="32"/>
        </w:rPr>
        <w:t>（三）经济合理：</w:t>
      </w:r>
      <w:r>
        <w:rPr>
          <w:rFonts w:hint="eastAsia" w:ascii="仿宋_GB2312" w:hAnsi="仿宋" w:eastAsia="仿宋_GB2312"/>
          <w:color w:val="000000"/>
          <w:sz w:val="32"/>
          <w:szCs w:val="32"/>
        </w:rPr>
        <w:t>项目资金使用和支出要做到经济、合理、高效，严格按照申报范围和开支标准执行。</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sz w:val="32"/>
          <w:szCs w:val="32"/>
        </w:rPr>
        <w:t>注：1.</w:t>
      </w:r>
      <w:r>
        <w:rPr>
          <w:rFonts w:hint="eastAsia" w:ascii="仿宋_GB2312" w:hAnsi="仿宋" w:eastAsia="仿宋_GB2312" w:cs="Helvetica"/>
          <w:color w:val="000000"/>
          <w:kern w:val="0"/>
          <w:sz w:val="32"/>
          <w:szCs w:val="32"/>
        </w:rPr>
        <w:t>本指引所述项目资金包括福彩公益金和配套资金；2.</w:t>
      </w:r>
      <w:r>
        <w:rPr>
          <w:rFonts w:hint="eastAsia" w:ascii="仿宋_GB2312" w:hAnsi="仿宋" w:eastAsia="仿宋_GB2312" w:cs="Helvetica"/>
          <w:b/>
          <w:color w:val="000000"/>
          <w:kern w:val="0"/>
          <w:sz w:val="32"/>
          <w:szCs w:val="32"/>
        </w:rPr>
        <w:t>福彩公益金：</w:t>
      </w:r>
      <w:r>
        <w:rPr>
          <w:rFonts w:hint="eastAsia" w:ascii="仿宋_GB2312" w:hAnsi="仿宋" w:eastAsia="仿宋_GB2312" w:cs="Helvetica"/>
          <w:color w:val="000000"/>
          <w:kern w:val="0"/>
          <w:sz w:val="32"/>
          <w:szCs w:val="32"/>
        </w:rPr>
        <w:t>指部、省级彩票公益金安排用于向社会组织购买社会服务的补助资金。</w:t>
      </w:r>
      <w:r>
        <w:rPr>
          <w:rFonts w:hint="eastAsia" w:ascii="仿宋_GB2312" w:hAnsi="仿宋" w:eastAsia="仿宋_GB2312" w:cs="Helvetica"/>
          <w:b/>
          <w:color w:val="000000"/>
          <w:kern w:val="0"/>
          <w:sz w:val="32"/>
          <w:szCs w:val="32"/>
        </w:rPr>
        <w:t>配套资金：</w:t>
      </w:r>
      <w:r>
        <w:rPr>
          <w:rFonts w:hint="eastAsia" w:ascii="仿宋_GB2312" w:hAnsi="仿宋" w:eastAsia="仿宋_GB2312" w:cs="Helvetica"/>
          <w:color w:val="000000"/>
          <w:kern w:val="0"/>
          <w:sz w:val="32"/>
          <w:szCs w:val="32"/>
        </w:rPr>
        <w:t>是项目执行单位取得的除本项目补助资金以外的、与本项目用途相同并使用于本项目的资金，包括自有资金、社会募集资金和其他资金。</w:t>
      </w:r>
    </w:p>
    <w:p>
      <w:pPr>
        <w:widowControl/>
        <w:spacing w:line="580" w:lineRule="exact"/>
        <w:ind w:firstLine="640" w:firstLineChars="200"/>
        <w:rPr>
          <w:rFonts w:ascii="黑体" w:hAnsi="黑体" w:eastAsia="黑体" w:cs="Helvetica"/>
          <w:bCs/>
          <w:color w:val="000000"/>
          <w:kern w:val="0"/>
          <w:sz w:val="32"/>
          <w:szCs w:val="32"/>
        </w:rPr>
      </w:pPr>
      <w:r>
        <w:rPr>
          <w:rFonts w:hint="eastAsia" w:ascii="黑体" w:hAnsi="黑体" w:eastAsia="黑体" w:cs="Helvetica"/>
          <w:bCs/>
          <w:color w:val="000000"/>
          <w:kern w:val="0"/>
          <w:sz w:val="32"/>
          <w:szCs w:val="32"/>
        </w:rPr>
        <w:t>二、预算管理</w:t>
      </w:r>
    </w:p>
    <w:p>
      <w:pPr>
        <w:spacing w:line="58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（一）编制原则</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机构应深入调研，形成内容详实的调研报告，科学策划服务内容并制定切实可行的实施方案。以回应服务对象需求为目标，体现非营利性和公益性。编制预算时，保证资金使用规范有效，国家有明确规定标准的费用按规定执行；无规定的，费用标准应符合项目实际情况。</w:t>
      </w:r>
    </w:p>
    <w:p>
      <w:pPr>
        <w:spacing w:line="58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（二）编制科目</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仿宋_GB2312" w:hAnsi="仿宋" w:eastAsia="仿宋_GB2312" w:cs="Helvetica"/>
          <w:b/>
          <w:color w:val="000000"/>
          <w:kern w:val="0"/>
          <w:sz w:val="32"/>
          <w:szCs w:val="32"/>
        </w:rPr>
        <w:t>1.社会服务支出</w:t>
      </w:r>
    </w:p>
    <w:p>
      <w:pPr>
        <w:widowControl/>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社会服务支出是指直接用于服务对象或开展社会服务活动的支出，包括开展服务支出和发放款物支出。</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开展服务支出应按提供服务种类、服务对象类别或预计发生的费用类型填列;发放款物支出按实际发放款物的种类填列，并列明单位、数量和费用标准，</w:t>
      </w:r>
      <w:r>
        <w:rPr>
          <w:rFonts w:hint="eastAsia" w:ascii="仿宋_GB2312" w:hAnsi="仿宋" w:eastAsia="仿宋_GB2312" w:cs="Helvetica"/>
          <w:color w:val="000000"/>
          <w:kern w:val="0"/>
          <w:sz w:val="32"/>
          <w:szCs w:val="32"/>
        </w:rPr>
        <w:t>应严格控制“发放款物支出”列支比例，原则上不超过项目总额的5%。项目资金不得用于购买或修建楼堂馆所、设备购置和服务设施、基建、研究、投资、软件系统开发、种植养殖、缴纳罚款罚金、偿还债务、对外投资、购买汽车、开发软件、考察旅游、户外活动等支出，不得以任何形式挤占、截留、挪用项目资金，保证项目资金的安全和正确使用，任何单位不得以任何名义从项目资金中提取管理费。</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仿宋_GB2312" w:hAnsi="仿宋" w:eastAsia="仿宋_GB2312" w:cs="Helvetica"/>
          <w:b/>
          <w:color w:val="000000"/>
          <w:kern w:val="0"/>
          <w:sz w:val="32"/>
          <w:szCs w:val="32"/>
        </w:rPr>
        <w:t>（1）劳务费。</w:t>
      </w:r>
      <w:r>
        <w:rPr>
          <w:rFonts w:hint="eastAsia" w:ascii="仿宋_GB2312" w:hAnsi="仿宋" w:eastAsia="仿宋_GB2312" w:cs="Helvetica"/>
          <w:color w:val="000000"/>
          <w:kern w:val="0"/>
          <w:sz w:val="32"/>
          <w:szCs w:val="32"/>
        </w:rPr>
        <w:t>劳务费是项目执行中发生的支付给在本组织无工资性收入的临时聘用人员的劳务性费用，包括专家督导费、临时聘用人员劳务费和志愿者补贴等。不得向本组织工作人员及购买方工作人员支付专家劳务费。服务对象不得领取劳务费。编制预算时，专家督导费、临时聘用人员劳务费和志愿者补贴应在开展服务支出中单独申报，并列明劳务的种类、服务内容、工作次数及时长、标准等，并要严格控制在福利彩票公益金中列支的金额和比例。具体标准如下：</w:t>
      </w:r>
    </w:p>
    <w:p>
      <w:pPr>
        <w:spacing w:line="580" w:lineRule="exact"/>
        <w:ind w:firstLine="640" w:firstLineChars="200"/>
        <w:rPr>
          <w:rFonts w:ascii="仿宋_GB2312" w:hAnsi="仿宋" w:eastAsia="仿宋_GB2312" w:cs="Tahoma"/>
          <w:color w:val="333333"/>
          <w:kern w:val="0"/>
          <w:sz w:val="32"/>
          <w:szCs w:val="32"/>
        </w:rPr>
      </w:pPr>
      <w:r>
        <w:rPr>
          <w:rFonts w:hint="eastAsia" w:ascii="仿宋_GB2312" w:hAnsi="仿宋" w:eastAsia="仿宋_GB2312" w:cs="Helvetica"/>
          <w:color w:val="000000"/>
          <w:kern w:val="0"/>
          <w:sz w:val="32"/>
          <w:szCs w:val="32"/>
        </w:rPr>
        <w:t>①专家督导费：</w:t>
      </w:r>
      <w:r>
        <w:rPr>
          <w:rFonts w:hint="eastAsia" w:ascii="仿宋_GB2312" w:hAnsi="仿宋" w:eastAsia="仿宋_GB2312"/>
          <w:color w:val="000000"/>
          <w:sz w:val="32"/>
          <w:szCs w:val="32"/>
        </w:rPr>
        <w:t>参照</w:t>
      </w:r>
      <w:r>
        <w:rPr>
          <w:rFonts w:hint="eastAsia" w:ascii="仿宋_GB2312" w:hAnsi="仿宋" w:eastAsia="仿宋_GB2312" w:cs="Tahoma"/>
          <w:color w:val="333333"/>
          <w:kern w:val="0"/>
          <w:sz w:val="32"/>
          <w:szCs w:val="32"/>
        </w:rPr>
        <w:t>青海省财政厅《关于印发</w:t>
      </w:r>
      <w:r>
        <w:rPr>
          <w:rFonts w:hint="eastAsia" w:ascii="仿宋_GB2312" w:hAnsi="仿宋" w:eastAsia="仿宋_GB2312"/>
          <w:color w:val="000000"/>
          <w:sz w:val="32"/>
          <w:szCs w:val="32"/>
        </w:rPr>
        <w:t>&lt;</w:t>
      </w:r>
      <w:r>
        <w:rPr>
          <w:rFonts w:hint="eastAsia" w:ascii="仿宋_GB2312" w:hAnsi="仿宋" w:eastAsia="仿宋_GB2312" w:cs="Tahoma"/>
          <w:color w:val="333333"/>
          <w:kern w:val="0"/>
          <w:sz w:val="32"/>
          <w:szCs w:val="32"/>
        </w:rPr>
        <w:t>青海省省级财政专项资金项目专家评审费管理办法</w:t>
      </w:r>
      <w:r>
        <w:rPr>
          <w:rFonts w:hint="eastAsia" w:ascii="仿宋_GB2312" w:hAnsi="仿宋" w:eastAsia="仿宋_GB2312"/>
          <w:color w:val="000000"/>
          <w:sz w:val="32"/>
          <w:szCs w:val="32"/>
        </w:rPr>
        <w:t>&gt;</w:t>
      </w:r>
      <w:r>
        <w:rPr>
          <w:rFonts w:hint="eastAsia" w:ascii="仿宋_GB2312" w:hAnsi="仿宋" w:eastAsia="仿宋_GB2312" w:cs="Tahoma"/>
          <w:color w:val="333333"/>
          <w:kern w:val="0"/>
          <w:sz w:val="32"/>
          <w:szCs w:val="32"/>
        </w:rPr>
        <w:t>的通知》（</w:t>
      </w:r>
      <w:r>
        <w:rPr>
          <w:rFonts w:hint="eastAsia" w:ascii="仿宋_GB2312" w:hAnsi="仿宋" w:eastAsia="仿宋_GB2312" w:cs="Tahoma"/>
          <w:color w:val="333333"/>
          <w:sz w:val="32"/>
          <w:szCs w:val="32"/>
          <w:shd w:val="clear" w:color="auto" w:fill="FFFFFF"/>
        </w:rPr>
        <w:t>青财预字〔2018〕2383号</w:t>
      </w:r>
      <w:r>
        <w:rPr>
          <w:rFonts w:hint="eastAsia" w:ascii="仿宋_GB2312" w:hAnsi="仿宋" w:eastAsia="仿宋_GB2312" w:cs="Tahoma"/>
          <w:color w:val="333333"/>
          <w:kern w:val="0"/>
          <w:sz w:val="32"/>
          <w:szCs w:val="32"/>
        </w:rPr>
        <w:t>）</w:t>
      </w:r>
      <w:r>
        <w:rPr>
          <w:rFonts w:hint="eastAsia" w:ascii="仿宋_GB2312" w:hAnsi="仿宋" w:eastAsia="仿宋_GB2312"/>
          <w:color w:val="000000"/>
          <w:sz w:val="32"/>
          <w:szCs w:val="32"/>
        </w:rPr>
        <w:t>执行，300元/次/人。</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②临聘人员劳务费：不超过100元/人/天。</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③志愿者补贴：包括餐费、市内交通费等补贴，支付标准不超过80元/人/天（已发放志愿者补贴的，不再报销其餐费和交通费等）。</w:t>
      </w:r>
    </w:p>
    <w:p>
      <w:pPr>
        <w:widowControl/>
        <w:spacing w:line="580" w:lineRule="exact"/>
        <w:ind w:firstLine="643" w:firstLineChars="200"/>
        <w:rPr>
          <w:rFonts w:ascii="仿宋_GB2312" w:hAnsi="仿宋" w:eastAsia="仿宋_GB2312"/>
          <w:color w:val="000000"/>
          <w:sz w:val="32"/>
          <w:szCs w:val="32"/>
        </w:rPr>
      </w:pPr>
      <w:r>
        <w:rPr>
          <w:rFonts w:hint="eastAsia" w:ascii="仿宋_GB2312" w:hAnsi="仿宋" w:eastAsia="仿宋_GB2312" w:cs="Helvetica"/>
          <w:b/>
          <w:color w:val="000000"/>
          <w:kern w:val="0"/>
          <w:sz w:val="32"/>
          <w:szCs w:val="32"/>
        </w:rPr>
        <w:t>（3）专职人员工资性支出。专业社工工资性支出：</w:t>
      </w:r>
      <w:r>
        <w:rPr>
          <w:rFonts w:hint="eastAsia" w:ascii="仿宋_GB2312" w:hAnsi="仿宋" w:eastAsia="仿宋_GB2312" w:cs="Helvetica"/>
          <w:color w:val="000000"/>
          <w:kern w:val="0"/>
          <w:sz w:val="32"/>
          <w:szCs w:val="32"/>
        </w:rPr>
        <w:t>具有社会工作职业水平证书的专职专业社工服务人员提供专业社工服务的劳务费支出，初级职称3500元/月、中级职称4500元/月、高级职称6000元/月（不具有社会职业水平证书的专职专业社工服务人员劳务费支出可参照执行）。</w:t>
      </w:r>
      <w:r>
        <w:rPr>
          <w:rFonts w:hint="eastAsia" w:ascii="仿宋_GB2312" w:hAnsi="仿宋" w:eastAsia="仿宋_GB2312" w:cs="Helvetica"/>
          <w:b/>
          <w:color w:val="000000"/>
          <w:kern w:val="0"/>
          <w:sz w:val="32"/>
          <w:szCs w:val="32"/>
        </w:rPr>
        <w:t>其他</w:t>
      </w:r>
      <w:r>
        <w:rPr>
          <w:rFonts w:hint="eastAsia" w:ascii="仿宋_GB2312" w:hAnsi="仿宋" w:eastAsia="仿宋_GB2312"/>
          <w:b/>
          <w:color w:val="000000"/>
          <w:sz w:val="32"/>
          <w:szCs w:val="32"/>
        </w:rPr>
        <w:t>专职人员工资性支出：</w:t>
      </w:r>
      <w:r>
        <w:rPr>
          <w:rFonts w:hint="eastAsia" w:ascii="仿宋_GB2312" w:hAnsi="仿宋" w:eastAsia="仿宋_GB2312"/>
          <w:color w:val="000000"/>
          <w:sz w:val="32"/>
          <w:szCs w:val="32"/>
        </w:rPr>
        <w:t>项目实施中所发生的支付给社会组织其他固定专职人员（不</w:t>
      </w:r>
    </w:p>
    <w:p>
      <w:pPr>
        <w:widowControl/>
        <w:spacing w:line="580" w:lineRule="exact"/>
        <w:rPr>
          <w:rFonts w:ascii="仿宋_GB2312" w:hAnsi="仿宋" w:eastAsia="仿宋_GB2312"/>
          <w:color w:val="000000"/>
          <w:sz w:val="32"/>
          <w:szCs w:val="32"/>
        </w:rPr>
      </w:pPr>
      <w:r>
        <w:rPr>
          <w:rFonts w:hint="eastAsia" w:ascii="仿宋_GB2312" w:hAnsi="仿宋" w:eastAsia="仿宋_GB2312"/>
          <w:color w:val="000000"/>
          <w:sz w:val="32"/>
          <w:szCs w:val="32"/>
        </w:rPr>
        <w:t>含</w:t>
      </w:r>
      <w:r>
        <w:rPr>
          <w:rFonts w:hint="eastAsia" w:ascii="仿宋_GB2312" w:hAnsi="仿宋" w:eastAsia="仿宋_GB2312" w:cs="Helvetica"/>
          <w:color w:val="000000"/>
          <w:kern w:val="0"/>
          <w:sz w:val="32"/>
          <w:szCs w:val="32"/>
        </w:rPr>
        <w:t>专业社工，但包含具有职业水平证书财会和行政管理人员</w:t>
      </w:r>
      <w:r>
        <w:rPr>
          <w:rFonts w:hint="eastAsia" w:ascii="仿宋_GB2312" w:hAnsi="仿宋" w:eastAsia="仿宋_GB2312"/>
          <w:color w:val="000000"/>
          <w:sz w:val="32"/>
          <w:szCs w:val="32"/>
        </w:rPr>
        <w:t>）</w:t>
      </w:r>
    </w:p>
    <w:p>
      <w:pPr>
        <w:widowControl/>
        <w:spacing w:line="580" w:lineRule="exact"/>
        <w:rPr>
          <w:rFonts w:ascii="仿宋_GB2312" w:hAnsi="仿宋" w:eastAsia="仿宋_GB2312" w:cs="Helvetica"/>
          <w:color w:val="000000"/>
          <w:kern w:val="0"/>
          <w:sz w:val="32"/>
          <w:szCs w:val="32"/>
        </w:rPr>
      </w:pPr>
      <w:r>
        <w:rPr>
          <w:rFonts w:hint="eastAsia" w:ascii="仿宋_GB2312" w:hAnsi="仿宋" w:eastAsia="仿宋_GB2312"/>
          <w:color w:val="000000"/>
          <w:sz w:val="32"/>
          <w:szCs w:val="32"/>
        </w:rPr>
        <w:t>的劳务费，不包括专职专业人员实施项目所发生的其它费用。</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编制预算时，申报机构应列明专业社工服务的人数、工作次数及时间、费用标准，并将本组织社工服务人员工资与临聘社工服务人员的劳务费分别单独列示。具有社会工作职业水平证书的专职专业社工服务人员劳务费支出控制在项目资金预算总额的65%-70%。专职人员工资性支出</w:t>
      </w:r>
      <w:r>
        <w:rPr>
          <w:rFonts w:hint="eastAsia" w:ascii="仿宋_GB2312" w:hAnsi="仿宋" w:eastAsia="仿宋_GB2312"/>
          <w:color w:val="000000"/>
          <w:sz w:val="32"/>
          <w:szCs w:val="32"/>
        </w:rPr>
        <w:t>不得</w:t>
      </w:r>
      <w:r>
        <w:rPr>
          <w:rFonts w:hint="eastAsia" w:ascii="仿宋_GB2312" w:hAnsi="仿宋" w:eastAsia="仿宋_GB2312" w:cs="Helvetica"/>
          <w:color w:val="000000"/>
          <w:kern w:val="0"/>
          <w:sz w:val="32"/>
          <w:szCs w:val="32"/>
        </w:rPr>
        <w:t>超过项目资金预算总额的10%。</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为开展社会服务所需的其他专业服务人员的劳务费或工资性支出参照专业社工劳务费或工资性支出标准执行。</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注：1.专业社工服务是指专业社会工作服务人员运用个案、小组活动、社区活动等三种工作方法为服务对象提供的专业服务；2.专业社工服务人员是指具有社会工作职业水平证书（或大学相关专业教师、或具有社会工作学历背景、或累计参加社会工作专业培训120小时以上并具有2年以上社会工作实务经验）并在本项目中专门从事专业社工服务的人员；3.专职人员指与本组织签订了《劳动合同》并按规定为其缴纳了社会保险。</w:t>
      </w:r>
    </w:p>
    <w:p>
      <w:pPr>
        <w:widowControl/>
        <w:spacing w:line="580" w:lineRule="exact"/>
        <w:ind w:firstLine="643" w:firstLineChars="200"/>
        <w:rPr>
          <w:rFonts w:ascii="仿宋_GB2312" w:hAnsi="仿宋" w:eastAsia="仿宋_GB2312" w:cs="Helvetica"/>
          <w:color w:val="000000"/>
          <w:kern w:val="0"/>
          <w:sz w:val="32"/>
          <w:szCs w:val="32"/>
        </w:rPr>
      </w:pPr>
      <w:r>
        <w:rPr>
          <w:rFonts w:hint="eastAsia" w:ascii="仿宋_GB2312" w:hAnsi="仿宋" w:eastAsia="仿宋_GB2312" w:cs="Helvetica"/>
          <w:b/>
          <w:color w:val="000000"/>
          <w:kern w:val="0"/>
          <w:sz w:val="32"/>
          <w:szCs w:val="32"/>
        </w:rPr>
        <w:t>（4）发放款物支出。</w:t>
      </w:r>
      <w:r>
        <w:rPr>
          <w:rFonts w:hint="eastAsia" w:ascii="仿宋_GB2312" w:hAnsi="仿宋" w:eastAsia="仿宋_GB2312" w:cs="Helvetica"/>
          <w:color w:val="000000"/>
          <w:kern w:val="0"/>
          <w:sz w:val="32"/>
          <w:szCs w:val="32"/>
        </w:rPr>
        <w:t>拟发放的款物应是开展项目所必需的，包括发放给服务对象的救助款、补贴和物资，不包括开展活动的物料费等。项目承接主体购买的、符合预算并且直接交付服务对象或捐赠给社会组织(为服务对象开展服务)、单项金额较大的资产，在明确产权归属并办理财产移交手续后，可作为发放款物支出。编制预算时，申报单位应本着节约、适用、满足</w:t>
      </w:r>
    </w:p>
    <w:p>
      <w:pPr>
        <w:widowControl/>
        <w:spacing w:line="580" w:lineRule="exact"/>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基本功能的原则，列明预计发放款物的具体种类、数量、标准</w:t>
      </w:r>
    </w:p>
    <w:p>
      <w:pPr>
        <w:widowControl/>
        <w:spacing w:line="580" w:lineRule="exact"/>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和金额，严格控制列支比例。</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仿宋_GB2312" w:hAnsi="仿宋" w:eastAsia="仿宋_GB2312" w:cs="Helvetica"/>
          <w:b/>
          <w:color w:val="000000"/>
          <w:kern w:val="0"/>
          <w:sz w:val="32"/>
          <w:szCs w:val="32"/>
        </w:rPr>
        <w:t>2.执行费用</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s="Helvetica"/>
          <w:color w:val="000000"/>
          <w:kern w:val="0"/>
          <w:sz w:val="32"/>
          <w:szCs w:val="32"/>
        </w:rPr>
        <w:t>项目执行费用包括执行项目所必须的交通、会议、印刷宣传等费用，在配套资金中允许列支开展项目所必需的其他费用。项目执行费用预算应按费用类型填报，具体要求如下：</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仿宋_GB2312" w:hAnsi="仿宋" w:eastAsia="仿宋_GB2312" w:cs="Helvetica"/>
          <w:b/>
          <w:color w:val="000000"/>
          <w:kern w:val="0"/>
          <w:sz w:val="32"/>
          <w:szCs w:val="32"/>
        </w:rPr>
        <w:t>（1）交通费。</w:t>
      </w:r>
      <w:r>
        <w:rPr>
          <w:rFonts w:hint="eastAsia" w:ascii="仿宋_GB2312" w:hAnsi="仿宋" w:eastAsia="仿宋_GB2312" w:cs="Helvetica"/>
          <w:color w:val="000000"/>
          <w:kern w:val="0"/>
          <w:sz w:val="32"/>
          <w:szCs w:val="32"/>
        </w:rPr>
        <w:t>交通费是项目执行过程中必须发生的、与执行项目直接相关的立项单位项目执行人员的差旅费和市内交通费，不得列支与项目无关的交通费用。编制预算</w:t>
      </w:r>
      <w:r>
        <w:rPr>
          <w:rFonts w:hint="eastAsia" w:ascii="仿宋_GB2312" w:hAnsi="仿宋" w:eastAsia="仿宋_GB2312"/>
          <w:color w:val="000000"/>
          <w:sz w:val="32"/>
          <w:szCs w:val="32"/>
        </w:rPr>
        <w:t>应列明预计发生交通费的事由、起始地点、交通工具和资金预算，</w:t>
      </w:r>
      <w:r>
        <w:rPr>
          <w:rFonts w:hint="eastAsia" w:ascii="仿宋_GB2312" w:hAnsi="仿宋" w:eastAsia="仿宋_GB2312" w:cs="Helvetica"/>
          <w:color w:val="000000"/>
          <w:kern w:val="0"/>
          <w:sz w:val="32"/>
          <w:szCs w:val="32"/>
        </w:rPr>
        <w:t>差旅费应按照《青海省省级党政机关省外差旅费管理办法》《青海省党政机关省内差旅费管理办法》（青财行字[2014]1288号）、青海省财政厅《关于调整省级党政机关省外差旅住宿费标准等有关问题的通知》（青财行字[2015]1967号）、青海省财政厅《关于印发〈省级党政机关省外差旅住宿费标准明细表〉的通知》（青财行字[2016]666号）、青海省财政厅《关于调整省内差旅费有关问题的补充通知》（青财行字[2016]850号）以及青海省财政厅《关于〈规范省级党政机关差旅伙食费和室内交通费收交管理有关事项〉的通知》（青财行字[2019]2302号）等相关文件执行，市内交通费应符合经济节约原则。</w:t>
      </w:r>
    </w:p>
    <w:p>
      <w:pPr>
        <w:spacing w:line="580" w:lineRule="exact"/>
        <w:ind w:firstLine="643" w:firstLineChars="200"/>
        <w:jc w:val="left"/>
        <w:rPr>
          <w:rFonts w:ascii="仿宋_GB2312" w:hAnsi="仿宋" w:eastAsia="仿宋_GB2312" w:cs="Helvetica"/>
          <w:color w:val="000000"/>
          <w:kern w:val="0"/>
          <w:sz w:val="32"/>
          <w:szCs w:val="32"/>
        </w:rPr>
      </w:pPr>
      <w:r>
        <w:rPr>
          <w:rFonts w:hint="eastAsia" w:ascii="仿宋_GB2312" w:hAnsi="仿宋" w:eastAsia="仿宋_GB2312" w:cs="Helvetica"/>
          <w:b/>
          <w:color w:val="000000"/>
          <w:kern w:val="0"/>
          <w:sz w:val="32"/>
          <w:szCs w:val="32"/>
        </w:rPr>
        <w:t>（2）会议费。</w:t>
      </w:r>
      <w:r>
        <w:rPr>
          <w:rFonts w:hint="eastAsia" w:ascii="仿宋_GB2312" w:hAnsi="仿宋" w:eastAsia="仿宋_GB2312" w:cs="Helvetica"/>
          <w:color w:val="000000"/>
          <w:kern w:val="0"/>
          <w:sz w:val="32"/>
          <w:szCs w:val="32"/>
        </w:rPr>
        <w:t>为开展项目召开的会议包括项目启动会、项目实施期间的会议和项目总结会等。会议费是执行项目必须发生的会议费用，包括会议住宿费、伙食费、会议室租金、交通费、文件印刷费、医药费等。会议费中不得列支相关的礼品、鲜花、茶歇等费用。申报机构应严格控制会议的数量和规模，编制预算时应列明会议的用途、次数、规模、金额，会议费不得超过青海省财政厅《关于印发会议费、差旅费、接待费等一般性公务支持经费管理办法的通知》。</w:t>
      </w:r>
    </w:p>
    <w:p>
      <w:pPr>
        <w:spacing w:line="580" w:lineRule="exact"/>
        <w:ind w:firstLine="643" w:firstLineChars="200"/>
        <w:jc w:val="left"/>
        <w:rPr>
          <w:rFonts w:ascii="仿宋_GB2312" w:hAnsi="仿宋" w:eastAsia="仿宋_GB2312" w:cs="Helvetica"/>
          <w:b/>
          <w:color w:val="000000"/>
          <w:kern w:val="0"/>
          <w:sz w:val="32"/>
          <w:szCs w:val="32"/>
        </w:rPr>
      </w:pPr>
      <w:r>
        <w:rPr>
          <w:rFonts w:hint="eastAsia" w:ascii="仿宋_GB2312" w:hAnsi="仿宋" w:eastAsia="仿宋_GB2312" w:cs="Helvetica"/>
          <w:b/>
          <w:color w:val="000000"/>
          <w:kern w:val="0"/>
          <w:sz w:val="32"/>
          <w:szCs w:val="32"/>
        </w:rPr>
        <w:t>（3）印刷、宣传费。</w:t>
      </w:r>
      <w:r>
        <w:rPr>
          <w:rFonts w:hint="eastAsia" w:ascii="仿宋_GB2312" w:hAnsi="仿宋" w:eastAsia="仿宋_GB2312" w:cs="Helvetica"/>
          <w:color w:val="000000"/>
          <w:kern w:val="0"/>
          <w:sz w:val="32"/>
          <w:szCs w:val="32"/>
        </w:rPr>
        <w:t>印刷、宣传费是项目执行中必须发生的费用，编制预算应本着节约的原则，列明费用的种类、标准和金额。</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仿宋_GB2312" w:hAnsi="仿宋" w:eastAsia="仿宋_GB2312" w:cs="Helvetica"/>
          <w:b/>
          <w:color w:val="000000"/>
          <w:kern w:val="0"/>
          <w:sz w:val="32"/>
          <w:szCs w:val="32"/>
        </w:rPr>
        <w:t>（4）其他费用。</w:t>
      </w:r>
      <w:r>
        <w:rPr>
          <w:rFonts w:hint="eastAsia" w:ascii="仿宋_GB2312" w:hAnsi="仿宋" w:eastAsia="仿宋_GB2312" w:cs="Helvetica"/>
          <w:color w:val="000000"/>
          <w:kern w:val="0"/>
          <w:sz w:val="32"/>
          <w:szCs w:val="32"/>
        </w:rPr>
        <w:t>除执行项目所必需的、与开展项目直接相关的上述费用外，福利彩票公益金不得列支项目承接主体的房租、水电费、折旧等机构运行费用。</w:t>
      </w:r>
    </w:p>
    <w:p>
      <w:pPr>
        <w:widowControl/>
        <w:spacing w:line="580" w:lineRule="exact"/>
        <w:ind w:firstLine="643" w:firstLineChars="200"/>
        <w:rPr>
          <w:rFonts w:ascii="仿宋_GB2312" w:hAnsi="仿宋" w:eastAsia="仿宋_GB2312" w:cs="Helvetica"/>
          <w:color w:val="000000"/>
          <w:kern w:val="0"/>
          <w:sz w:val="32"/>
          <w:szCs w:val="32"/>
        </w:rPr>
      </w:pPr>
      <w:r>
        <w:rPr>
          <w:rFonts w:hint="eastAsia" w:ascii="仿宋_GB2312" w:hAnsi="仿宋" w:eastAsia="仿宋_GB2312" w:cs="Helvetica"/>
          <w:b/>
          <w:color w:val="000000"/>
          <w:kern w:val="0"/>
          <w:sz w:val="32"/>
          <w:szCs w:val="32"/>
        </w:rPr>
        <w:t>（5）项目执行费用支出标准。</w:t>
      </w:r>
      <w:r>
        <w:rPr>
          <w:rFonts w:hint="eastAsia" w:ascii="仿宋_GB2312" w:hAnsi="仿宋" w:eastAsia="仿宋_GB2312" w:cs="Helvetica"/>
          <w:color w:val="000000"/>
          <w:kern w:val="0"/>
          <w:sz w:val="32"/>
          <w:szCs w:val="32"/>
        </w:rPr>
        <w:t>在福利彩票公益金列支的项目执行费用金额不得超过福利彩票公益金总额的15％。</w:t>
      </w:r>
    </w:p>
    <w:p>
      <w:pPr>
        <w:widowControl/>
        <w:spacing w:line="580" w:lineRule="exact"/>
        <w:ind w:firstLine="640" w:firstLineChars="200"/>
        <w:rPr>
          <w:rFonts w:ascii="黑体" w:hAnsi="黑体" w:eastAsia="黑体" w:cs="Helvetica"/>
          <w:bCs/>
          <w:color w:val="000000"/>
          <w:kern w:val="0"/>
          <w:sz w:val="32"/>
          <w:szCs w:val="32"/>
        </w:rPr>
      </w:pPr>
      <w:r>
        <w:rPr>
          <w:rFonts w:hint="eastAsia" w:ascii="黑体" w:hAnsi="黑体" w:eastAsia="黑体" w:cs="Helvetica"/>
          <w:bCs/>
          <w:color w:val="000000"/>
          <w:kern w:val="0"/>
          <w:sz w:val="32"/>
          <w:szCs w:val="32"/>
        </w:rPr>
        <w:t>三、资金管理</w:t>
      </w:r>
    </w:p>
    <w:p>
      <w:pPr>
        <w:widowControl/>
        <w:spacing w:line="580" w:lineRule="exact"/>
        <w:ind w:firstLine="643" w:firstLineChars="200"/>
        <w:rPr>
          <w:rFonts w:ascii="仿宋_GB2312" w:hAnsi="仿宋" w:eastAsia="仿宋_GB2312" w:cs="Helvetica"/>
          <w:color w:val="000000"/>
          <w:kern w:val="0"/>
          <w:sz w:val="32"/>
          <w:szCs w:val="32"/>
        </w:rPr>
      </w:pPr>
      <w:r>
        <w:rPr>
          <w:rFonts w:hint="eastAsia" w:ascii="楷体" w:hAnsi="楷体" w:eastAsia="楷体"/>
          <w:b/>
          <w:bCs/>
          <w:color w:val="000000"/>
          <w:sz w:val="32"/>
          <w:szCs w:val="32"/>
        </w:rPr>
        <w:t>（一）规范资金拨付和使用程序。</w:t>
      </w:r>
      <w:r>
        <w:rPr>
          <w:rFonts w:hint="eastAsia" w:ascii="仿宋_GB2312" w:hAnsi="仿宋" w:eastAsia="仿宋_GB2312" w:cs="Helvetica"/>
          <w:color w:val="000000"/>
          <w:kern w:val="0"/>
          <w:sz w:val="32"/>
          <w:szCs w:val="32"/>
        </w:rPr>
        <w:t>项目购买主体按合同约定进行资金拨付，并直接拨付给承接主体；承接主体应严格资金使用的管理，遵守国家有关现金和银行结算的管理规定，不得出现大额支付现金、超范围支付现金、公款私存等行为，劳务费及救助款的发放、以及单笔在500元以上的其他支出应采用银行转账方式支付。</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楷体" w:hAnsi="楷体" w:eastAsia="楷体"/>
          <w:b/>
          <w:bCs/>
          <w:color w:val="000000"/>
          <w:sz w:val="32"/>
          <w:szCs w:val="32"/>
        </w:rPr>
        <w:t>（二）严格资金使用的审批。</w:t>
      </w:r>
      <w:r>
        <w:rPr>
          <w:rFonts w:hint="eastAsia" w:ascii="仿宋_GB2312" w:hAnsi="仿宋" w:eastAsia="仿宋_GB2312" w:cs="Helvetica"/>
          <w:color w:val="000000"/>
          <w:kern w:val="0"/>
          <w:sz w:val="32"/>
          <w:szCs w:val="32"/>
        </w:rPr>
        <w:t>项目承接主体应建立项目支出审批制度，明确支出的审批权限、程序、责任和相关控制措施，明确经办人、项目负责人、授权批准人、审核（复核）人员的职责和工作要求。项目执行中应严格遵守所建立的审批制度，经办人、项目负责人、授权批准人、财务人员应按规定履行职责。项目资金应据实列支，支出报销时应标明为本项目支出，列明支出事由或用途，使用合规合法的票据，不得使用不合法票据或虚假票据作为支出凭据，不得出现“以拨代支”、无发票列支费用的现象。</w:t>
      </w:r>
    </w:p>
    <w:p>
      <w:pPr>
        <w:widowControl/>
        <w:spacing w:line="580" w:lineRule="exact"/>
        <w:ind w:firstLine="643" w:firstLineChars="200"/>
        <w:rPr>
          <w:rFonts w:ascii="仿宋_GB2312" w:hAnsi="仿宋" w:eastAsia="仿宋_GB2312" w:cs="Helvetica"/>
          <w:color w:val="000000"/>
          <w:kern w:val="0"/>
          <w:sz w:val="32"/>
          <w:szCs w:val="32"/>
        </w:rPr>
      </w:pPr>
      <w:r>
        <w:rPr>
          <w:rFonts w:hint="eastAsia" w:ascii="楷体" w:hAnsi="楷体" w:eastAsia="楷体"/>
          <w:b/>
          <w:bCs/>
          <w:color w:val="000000"/>
          <w:sz w:val="32"/>
          <w:szCs w:val="32"/>
        </w:rPr>
        <w:t>（三）按规定的范围和标准使用资金。</w:t>
      </w:r>
      <w:r>
        <w:rPr>
          <w:rFonts w:hint="eastAsia" w:ascii="仿宋_GB2312" w:hAnsi="仿宋" w:eastAsia="仿宋_GB2312" w:cs="Helvetica"/>
          <w:color w:val="000000"/>
          <w:kern w:val="0"/>
          <w:sz w:val="32"/>
          <w:szCs w:val="32"/>
        </w:rPr>
        <w:t>项目承接主体应严格资金使用管理，统筹项目资金使用进度，保证用好管好项目资金。本着经济、节约、合理的原则，以项目预算为依据，严格按照预算所明确的服务对象或服务活动的范围、数量、标准据实列支，将福利彩票公益金和配套资金全部用于申报书所规定的服务对象或社会服务活动，留存与支出相关的原始资料。具体规定如下：</w:t>
      </w:r>
    </w:p>
    <w:p>
      <w:pPr>
        <w:spacing w:line="580" w:lineRule="exact"/>
        <w:ind w:firstLine="643" w:firstLineChars="200"/>
        <w:rPr>
          <w:rFonts w:ascii="仿宋_GB2312" w:hAnsi="仿宋" w:eastAsia="仿宋_GB2312" w:cs="Helvetica"/>
          <w:b/>
          <w:color w:val="000000"/>
          <w:kern w:val="0"/>
          <w:sz w:val="32"/>
          <w:szCs w:val="32"/>
        </w:rPr>
      </w:pPr>
      <w:r>
        <w:rPr>
          <w:rFonts w:hint="eastAsia" w:ascii="仿宋_GB2312" w:hAnsi="仿宋" w:eastAsia="仿宋_GB2312"/>
          <w:b/>
          <w:bCs/>
          <w:color w:val="000000"/>
          <w:sz w:val="32"/>
          <w:szCs w:val="32"/>
        </w:rPr>
        <w:t>1.劳务费及工资性支出</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olor w:val="000000"/>
          <w:sz w:val="32"/>
          <w:szCs w:val="32"/>
        </w:rPr>
        <w:t>劳务费应根据实际工作时间及标准，在预算范围内据实列支。项目承接主体应当保留工作内容工时记录，并填制劳务费支付表（签收单），劳务费支付表应列明领取人姓名、性别、身份证号码、联系电话、职务或职称情况、工作内容和时间、金额、领取人员签字等内容。发放劳务费和工资除提供以上资料的，还需提供以下证明：支付专家督导费应当保留能证明专家身份及能力的资料；</w:t>
      </w:r>
      <w:r>
        <w:rPr>
          <w:rFonts w:hint="eastAsia" w:ascii="仿宋_GB2312" w:hAnsi="仿宋" w:eastAsia="仿宋_GB2312" w:cs="Helvetica"/>
          <w:color w:val="000000"/>
          <w:kern w:val="0"/>
          <w:sz w:val="32"/>
          <w:szCs w:val="32"/>
        </w:rPr>
        <w:t>支付志愿者补贴的，必须提供领取人在全国志愿服务信息系统登记服务日期、时长等截图证明；支付临时工作人员劳务费的，领取人非志愿者身份且与项目单位签订劳务合同；支付专业社工服务人员和专业在职人员工资，应当保留相关资质证书或其他能证明其专业能力的资料。劳务费以及工资应以转账方式直接支付给提供劳务的志愿者、专家、工作人员等，不得现金支付，更不得通过其他单位或个人转付。</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仿宋_GB2312" w:hAnsi="仿宋" w:eastAsia="仿宋_GB2312" w:cs="Helvetica"/>
          <w:b/>
          <w:color w:val="000000"/>
          <w:kern w:val="0"/>
          <w:sz w:val="32"/>
          <w:szCs w:val="32"/>
        </w:rPr>
        <w:t>2.交通费</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报销时，除票据外，报销单据中应注明出差人员姓名、出差时间、事由、起止地、费用类型等。市内交通费报销时，除票据外，报销单据中应注明报销人员姓名、外出事由、起止地、费用类型等。</w:t>
      </w:r>
    </w:p>
    <w:p>
      <w:pPr>
        <w:widowControl/>
        <w:spacing w:line="58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3.会议费</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项目承接主体应当保留会议通知、会议日程、会议材料、会场照片、相关合同（场地使用、印刷会议资料、购买会议用品等）、实际参会人员签到表（包括姓名、单位、职务、联系电话、通讯地址）、会议总结或简报、会议服务单位提供的费用原始明细单据、电子结算单等凭证。</w:t>
      </w:r>
    </w:p>
    <w:p>
      <w:pPr>
        <w:spacing w:line="58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4.印刷宣传费</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依据预算据实列支印刷、宣传费。除发票和付款记录外，项目执行单位应保留相关合同、印刷清单、印刷样品、刊登广告的媒介（样刊或录像）等相关资料。</w:t>
      </w:r>
    </w:p>
    <w:p>
      <w:pPr>
        <w:spacing w:line="58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5.发放款物支出</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olor w:val="000000"/>
          <w:sz w:val="32"/>
          <w:szCs w:val="32"/>
        </w:rPr>
        <w:t>项目承接主体应在预算规定的范围内，按照预算列明的种类、数量、标准、金额发放，保留有接收人签字的款物发放清单或接收记录、服务对象确认书、款项拨付记录。</w:t>
      </w:r>
      <w:r>
        <w:rPr>
          <w:rFonts w:hint="eastAsia" w:ascii="仿宋_GB2312" w:hAnsi="仿宋" w:eastAsia="仿宋_GB2312" w:cs="Helvetica"/>
          <w:color w:val="000000"/>
          <w:kern w:val="0"/>
          <w:sz w:val="32"/>
          <w:szCs w:val="32"/>
        </w:rPr>
        <w:t>发放款项应</w:t>
      </w:r>
    </w:p>
    <w:p>
      <w:pPr>
        <w:widowControl/>
        <w:spacing w:line="580" w:lineRule="exact"/>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以转账方式直接支付给服务对象，不得现金支付，更不得通过</w:t>
      </w:r>
    </w:p>
    <w:p>
      <w:pPr>
        <w:widowControl/>
        <w:spacing w:line="580" w:lineRule="exact"/>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其他单位或个人转付。</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仿宋_GB2312" w:hAnsi="仿宋" w:eastAsia="仿宋_GB2312" w:cs="Helvetica"/>
          <w:b/>
          <w:color w:val="000000"/>
          <w:kern w:val="0"/>
          <w:sz w:val="32"/>
          <w:szCs w:val="32"/>
        </w:rPr>
        <w:t>6.开展服务的其他支出</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s="Helvetica"/>
          <w:color w:val="000000"/>
          <w:kern w:val="0"/>
          <w:sz w:val="32"/>
          <w:szCs w:val="32"/>
        </w:rPr>
        <w:t>开展社会服务所必需的其他支出，本着经济、节约、合理的原则，在预算规定的范围内，据实列支。</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四、会计核算</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项目承接主体应按照《管理办法》《实施方案》《民间非营利组织会计制度》以及相关财经法律法规要求，依据真实、合法的支出凭证进行核算，将开展购买服务活动所取得的全部资金纳入本组织合法账簿进行单独核算和管理，并做到核算清晰。</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五、档案管理</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项目承接主体应当根据《中华人民共和国档案法》的规定，规范项目资料的管理，建立健全项目档案的立卷、归档、保管、查阅等管理制度，及时将项目申报、立项、执行、财务、服务对象确认、监督、评估等资料汇集整理，保证项目资料的妥善保管、有序存放、方便查阅、严防毁损、散失和泄密。项目承接主体应保存的资料如下：</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楷体" w:hAnsi="楷体" w:eastAsia="楷体" w:cs="Helvetica"/>
          <w:b/>
          <w:color w:val="000000"/>
          <w:kern w:val="0"/>
          <w:sz w:val="32"/>
          <w:szCs w:val="32"/>
        </w:rPr>
        <w:t>（一）项目采购过程中的资料。</w:t>
      </w:r>
      <w:r>
        <w:rPr>
          <w:rFonts w:hint="eastAsia" w:ascii="仿宋_GB2312" w:hAnsi="仿宋" w:eastAsia="仿宋_GB2312" w:cs="Helvetica"/>
          <w:color w:val="000000"/>
          <w:kern w:val="0"/>
          <w:sz w:val="32"/>
          <w:szCs w:val="32"/>
        </w:rPr>
        <w:t>项目采购过程中的资料包括项目方案、项目申报书、投标文件、项目资金使用管理办法等。</w:t>
      </w:r>
    </w:p>
    <w:p>
      <w:pPr>
        <w:widowControl/>
        <w:spacing w:line="580" w:lineRule="exact"/>
        <w:ind w:firstLine="643" w:firstLineChars="200"/>
        <w:rPr>
          <w:rFonts w:ascii="仿宋_GB2312" w:hAnsi="仿宋" w:eastAsia="仿宋_GB2312" w:cs="Helvetica"/>
          <w:b/>
          <w:color w:val="000000"/>
          <w:kern w:val="0"/>
          <w:sz w:val="32"/>
          <w:szCs w:val="32"/>
        </w:rPr>
      </w:pPr>
      <w:r>
        <w:rPr>
          <w:rFonts w:hint="eastAsia" w:ascii="楷体" w:hAnsi="楷体" w:eastAsia="楷体" w:cs="Helvetica"/>
          <w:b/>
          <w:color w:val="000000"/>
          <w:kern w:val="0"/>
          <w:sz w:val="32"/>
          <w:szCs w:val="32"/>
        </w:rPr>
        <w:t>（二）项目执行过程中的资料。</w:t>
      </w:r>
      <w:r>
        <w:rPr>
          <w:rFonts w:hint="eastAsia" w:ascii="仿宋_GB2312" w:hAnsi="仿宋" w:eastAsia="仿宋_GB2312" w:cs="Helvetica"/>
          <w:color w:val="000000"/>
          <w:kern w:val="0"/>
          <w:sz w:val="32"/>
          <w:szCs w:val="32"/>
        </w:rPr>
        <w:t>项目执行过程中的资料是项目资金用于服务对象和开展社会服务活动的相关资料，包括但不限于：筛选并确定服务对象的资料、服务对象汇总表、购买物资或服务的资料、款物发放及签收资料、开展服务活动的过程资料等。</w:t>
      </w:r>
    </w:p>
    <w:p>
      <w:pPr>
        <w:widowControl/>
        <w:spacing w:line="580" w:lineRule="exact"/>
        <w:ind w:firstLine="643" w:firstLineChars="200"/>
        <w:rPr>
          <w:rFonts w:ascii="仿宋_GB2312" w:hAnsi="仿宋" w:eastAsia="仿宋_GB2312" w:cs="Helvetica"/>
          <w:color w:val="000000"/>
          <w:kern w:val="0"/>
          <w:sz w:val="32"/>
          <w:szCs w:val="32"/>
        </w:rPr>
      </w:pPr>
      <w:r>
        <w:rPr>
          <w:rFonts w:hint="eastAsia" w:ascii="楷体" w:hAnsi="楷体" w:eastAsia="楷体" w:cs="Helvetica"/>
          <w:b/>
          <w:color w:val="000000"/>
          <w:kern w:val="0"/>
          <w:sz w:val="32"/>
          <w:szCs w:val="32"/>
        </w:rPr>
        <w:t xml:space="preserve"> (三)项目评估和后续监督资料</w:t>
      </w:r>
      <w:r>
        <w:rPr>
          <w:rFonts w:hint="eastAsia" w:ascii="仿宋_GB2312" w:hAnsi="楷体" w:eastAsia="仿宋_GB2312" w:cs="Helvetica"/>
          <w:b/>
          <w:color w:val="000000"/>
          <w:kern w:val="0"/>
          <w:sz w:val="32"/>
          <w:szCs w:val="32"/>
        </w:rPr>
        <w:t>。</w:t>
      </w:r>
      <w:r>
        <w:rPr>
          <w:rFonts w:hint="eastAsia" w:ascii="仿宋_GB2312" w:hAnsi="仿宋" w:eastAsia="仿宋_GB2312" w:cs="Helvetica"/>
          <w:color w:val="000000"/>
          <w:kern w:val="0"/>
          <w:sz w:val="32"/>
          <w:szCs w:val="32"/>
        </w:rPr>
        <w:t>项目执行完毕后，应按要求及时编制并报送项目总结报告，具体包括：项目评估报告、项目实施情况、资金使用管理情况、宣传推广情况、项目收支明细表。项目执行单位应及时将项目资料整理并归档。</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六、违规行为及处罚</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项目承接主体应按《管理办法》《实施方案》和申报书的规定进行项目管理，规范资金的使用，按时完成项目，实现项目目标。在项目实施过程中有下列情形的，省民政厅将根据具体情况对项目承接主体做出限期整改、不予支出剩余资金、收回先期拨付资金、取消下一年度申报项目资格等处理：</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1.以虚报、冒领等手段骗取财政资金;</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2．截留、挪用财政资金;</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3．违反规定扩大开支范围，提高开支标准；</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4．使用虚假发票或其他虚假项目资料和财务会计资料套取财政资金；</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5．列支或提取管理费；</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6．购买或修建楼堂馆所、缴纳罚款罚金、偿还债务、对外投资等；</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7．列支与项目无关的捐赠、赞助支出；</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8．形成账外资产和小金库的；</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9．服务对象回访结果存在问题致使支出不能全部确认的；</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10．其他违反规定使用、骗取财政资金的行为。</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11．分包、转包项目；</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12．未能按时完成项目的；</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13．受益对象选择不规范或资料不齐全而导致受益人群不符合规定的；</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14．受益对象确认程序存在重大不足而又无法实施替代程序的；</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15．购买物资或服务价格或接受捐赠的非货币资产价值存在不公允的现象；</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16．项目档案存在虚假情况；</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17．款物未按进度直接拨付受益对象或提供服务（购买物资）单位；</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18．存在公款私存行为；</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19．违反规定擅自调整预算的支出（包括擅自调整项目内容、地点、受益对象、实施方式等）；</w:t>
      </w:r>
    </w:p>
    <w:p>
      <w:pPr>
        <w:widowControl/>
        <w:spacing w:line="580" w:lineRule="exact"/>
        <w:ind w:firstLine="640" w:firstLineChars="200"/>
        <w:rPr>
          <w:rFonts w:ascii="仿宋_GB2312" w:hAnsi="仿宋" w:eastAsia="仿宋_GB2312" w:cs="Helvetica"/>
          <w:color w:val="000000"/>
          <w:kern w:val="0"/>
          <w:sz w:val="32"/>
          <w:szCs w:val="32"/>
        </w:rPr>
      </w:pPr>
      <w:r>
        <w:rPr>
          <w:rFonts w:hint="eastAsia" w:ascii="仿宋_GB2312" w:hAnsi="仿宋" w:eastAsia="仿宋_GB2312" w:cs="Helvetica"/>
          <w:color w:val="000000"/>
          <w:kern w:val="0"/>
          <w:sz w:val="32"/>
          <w:szCs w:val="32"/>
        </w:rPr>
        <w:t>20.其他重大违规违纪行为。</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widowControl/>
        <w:spacing w:after="157" w:line="500" w:lineRule="atLeast"/>
        <w:rPr>
          <w:rFonts w:ascii="仿宋" w:hAnsi="仿宋" w:eastAsia="仿宋" w:cs="Helvetica"/>
          <w:color w:val="000000"/>
          <w:kern w:val="0"/>
          <w:sz w:val="28"/>
          <w:szCs w:val="28"/>
        </w:rPr>
      </w:pPr>
    </w:p>
    <w:p>
      <w:pPr>
        <w:widowControl/>
        <w:spacing w:after="157" w:line="500" w:lineRule="atLeast"/>
        <w:rPr>
          <w:rFonts w:ascii="黑体" w:hAnsi="黑体" w:eastAsia="黑体" w:cs="Helvetica"/>
          <w:color w:val="000000"/>
          <w:kern w:val="0"/>
          <w:sz w:val="32"/>
          <w:szCs w:val="32"/>
        </w:rPr>
      </w:pPr>
    </w:p>
    <w:p>
      <w:pPr>
        <w:widowControl/>
        <w:spacing w:after="157" w:line="500" w:lineRule="atLeast"/>
        <w:rPr>
          <w:rFonts w:ascii="黑体" w:hAnsi="黑体" w:eastAsia="黑体" w:cs="Helvetica"/>
          <w:color w:val="000000"/>
          <w:kern w:val="0"/>
          <w:sz w:val="32"/>
          <w:szCs w:val="32"/>
        </w:rPr>
      </w:pPr>
      <w:r>
        <w:rPr>
          <w:rFonts w:hint="eastAsia" w:ascii="黑体" w:hAnsi="黑体" w:eastAsia="黑体" w:cs="Helvetica"/>
          <w:color w:val="000000"/>
          <w:kern w:val="0"/>
          <w:sz w:val="32"/>
          <w:szCs w:val="32"/>
        </w:rPr>
        <w:t>附件1-4</w:t>
      </w:r>
    </w:p>
    <w:p>
      <w:pPr>
        <w:spacing w:line="600" w:lineRule="exact"/>
        <w:jc w:val="center"/>
        <w:rPr>
          <w:rFonts w:ascii="方正小标宋_GBK" w:hAnsi="宋体" w:eastAsia="方正小标宋_GBK" w:cs="宋体"/>
          <w:spacing w:val="-6"/>
          <w:kern w:val="0"/>
          <w:sz w:val="44"/>
          <w:szCs w:val="44"/>
        </w:rPr>
      </w:pPr>
      <w:r>
        <w:rPr>
          <w:rFonts w:hint="eastAsia" w:ascii="方正小标宋_GBK" w:hAnsi="宋体" w:eastAsia="方正小标宋_GBK" w:cs="宋体"/>
          <w:spacing w:val="-6"/>
          <w:kern w:val="0"/>
          <w:sz w:val="44"/>
          <w:szCs w:val="44"/>
        </w:rPr>
        <w:t>2021年青海省民政厅向社会组织购买社会服务项目</w:t>
      </w:r>
      <w:r>
        <w:rPr>
          <w:rFonts w:hint="eastAsia" w:ascii="方正小标宋_GBK" w:hAnsi="宋体" w:eastAsia="方正小标宋_GBK" w:cs="Helvetica"/>
          <w:color w:val="000000"/>
          <w:spacing w:val="-6"/>
          <w:kern w:val="0"/>
          <w:sz w:val="44"/>
          <w:szCs w:val="44"/>
        </w:rPr>
        <w:t>绩效评价工作方案</w:t>
      </w:r>
    </w:p>
    <w:p>
      <w:pPr>
        <w:spacing w:line="600" w:lineRule="exact"/>
        <w:ind w:firstLine="640" w:firstLineChars="200"/>
        <w:rPr>
          <w:rFonts w:ascii="仿宋_GB2312" w:hAnsi="仿宋" w:eastAsia="仿宋_GB2312"/>
          <w:color w:val="000000"/>
          <w:sz w:val="32"/>
          <w:szCs w:val="32"/>
        </w:rPr>
      </w:pP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为规范青海省民政厅向社会组织购买社会服务工作，进一步加强专项资金的使用管理，切实提高财政资源配置和使用效率，取得明显社会效益，根据财政部《关于印发〈项目支出绩效评价管理办法〉的通知》（财预字</w:t>
      </w:r>
      <w:r>
        <w:rPr>
          <w:rFonts w:hint="eastAsia" w:ascii="仿宋_GB2312" w:hAnsi="仿宋" w:eastAsia="仿宋_GB2312"/>
          <w:sz w:val="32"/>
        </w:rPr>
        <w:t>〔2020〕</w:t>
      </w:r>
      <w:r>
        <w:rPr>
          <w:rFonts w:hint="eastAsia" w:ascii="仿宋_GB2312" w:hAnsi="仿宋" w:eastAsia="仿宋_GB2312"/>
          <w:sz w:val="32"/>
          <w:szCs w:val="32"/>
        </w:rPr>
        <w:t>10号）和《2021年青海省民政厅向社会组织购买社会服务项目实施方案》，特制定本方案。</w:t>
      </w:r>
    </w:p>
    <w:p>
      <w:pPr>
        <w:spacing w:line="580" w:lineRule="exact"/>
        <w:rPr>
          <w:rFonts w:ascii="黑体" w:hAnsi="黑体" w:eastAsia="黑体"/>
          <w:sz w:val="32"/>
          <w:szCs w:val="32"/>
        </w:rPr>
      </w:pPr>
      <w:r>
        <w:rPr>
          <w:rFonts w:hint="eastAsia" w:ascii="黑体" w:hAnsi="黑体" w:eastAsia="黑体"/>
          <w:sz w:val="32"/>
          <w:szCs w:val="32"/>
        </w:rPr>
        <w:t xml:space="preserve">    一、评价对象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青海省民政厅向社会组织购买社会服务项目：基本公共服务（A）、社会管理性服务（B）。</w:t>
      </w:r>
    </w:p>
    <w:p>
      <w:pPr>
        <w:spacing w:line="580" w:lineRule="exact"/>
        <w:rPr>
          <w:rFonts w:ascii="黑体" w:hAnsi="黑体" w:eastAsia="黑体"/>
          <w:sz w:val="32"/>
          <w:szCs w:val="32"/>
        </w:rPr>
      </w:pPr>
      <w:r>
        <w:rPr>
          <w:rFonts w:hint="eastAsia" w:ascii="黑体" w:hAnsi="黑体" w:eastAsia="黑体"/>
          <w:sz w:val="32"/>
          <w:szCs w:val="32"/>
        </w:rPr>
        <w:t xml:space="preserve">    二、评价目标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项目的实施，培育发展社会组织，对项目产出、效益、满意度等方面进行客观、公正的评价，最终实现绩效评价成果的有效应用，达到优化财政资源配置、完善政府购买服务体制机制、提升公共服务质量的目标。</w:t>
      </w:r>
    </w:p>
    <w:p>
      <w:pPr>
        <w:spacing w:line="580" w:lineRule="exact"/>
        <w:rPr>
          <w:rFonts w:ascii="黑体" w:hAnsi="黑体" w:eastAsia="黑体"/>
          <w:sz w:val="32"/>
          <w:szCs w:val="32"/>
        </w:rPr>
      </w:pPr>
      <w:r>
        <w:rPr>
          <w:rFonts w:hint="eastAsia" w:ascii="黑体" w:hAnsi="黑体" w:eastAsia="黑体"/>
          <w:sz w:val="32"/>
          <w:szCs w:val="32"/>
        </w:rPr>
        <w:t xml:space="preserve">    三、评价依据</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1.《中华人民共和国预算法》；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2.《中华人民共和国会计法》；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3.《彩票管理条例》；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4.《财政部关于印发彩票公益金管理办法的通知》（财综</w:t>
      </w:r>
      <w:r>
        <w:rPr>
          <w:rFonts w:hint="eastAsia" w:ascii="仿宋_GB2312" w:hAnsi="仿宋" w:eastAsia="仿宋_GB2312"/>
          <w:sz w:val="32"/>
        </w:rPr>
        <w:t>〔2007〕</w:t>
      </w:r>
      <w:r>
        <w:rPr>
          <w:rFonts w:hint="eastAsia" w:ascii="仿宋_GB2312" w:hAnsi="仿宋" w:eastAsia="仿宋_GB2312"/>
          <w:sz w:val="32"/>
          <w:szCs w:val="32"/>
        </w:rPr>
        <w:t>83号）；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5.《民政部办公厅关于印发&lt;民政部彩票公益金使用管理办法&gt;等六个办法的通知》（民办发</w:t>
      </w:r>
      <w:r>
        <w:rPr>
          <w:rFonts w:hint="eastAsia" w:ascii="仿宋_GB2312" w:hAnsi="仿宋" w:eastAsia="仿宋_GB2312"/>
          <w:sz w:val="32"/>
        </w:rPr>
        <w:t>〔2019〕</w:t>
      </w:r>
      <w:r>
        <w:rPr>
          <w:rFonts w:hint="eastAsia" w:ascii="仿宋_GB2312" w:hAnsi="仿宋" w:eastAsia="仿宋_GB2312"/>
          <w:sz w:val="32"/>
          <w:szCs w:val="32"/>
        </w:rPr>
        <w:t>34号）；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6.《财政部关于印发〈项目支出绩效评价管理办法〉的通知》（财预字</w:t>
      </w:r>
      <w:r>
        <w:rPr>
          <w:rFonts w:hint="eastAsia" w:ascii="仿宋_GB2312" w:hAnsi="仿宋" w:eastAsia="仿宋_GB2312"/>
          <w:sz w:val="32"/>
        </w:rPr>
        <w:t>〔2020〕</w:t>
      </w:r>
      <w:r>
        <w:rPr>
          <w:rFonts w:hint="eastAsia" w:ascii="仿宋_GB2312" w:hAnsi="仿宋" w:eastAsia="仿宋_GB2312"/>
          <w:sz w:val="32"/>
          <w:szCs w:val="32"/>
        </w:rPr>
        <w:t>10号）；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7.《青海省人民政府关于建立财政预算管理综合绩效评价机制的指导意见》（青政办</w:t>
      </w:r>
      <w:r>
        <w:rPr>
          <w:rFonts w:hint="eastAsia" w:ascii="仿宋_GB2312" w:hAnsi="仿宋" w:eastAsia="仿宋_GB2312"/>
          <w:sz w:val="32"/>
        </w:rPr>
        <w:t>〔2013〕</w:t>
      </w:r>
      <w:r>
        <w:rPr>
          <w:rFonts w:hint="eastAsia" w:ascii="仿宋_GB2312" w:hAnsi="仿宋" w:eastAsia="仿宋_GB2312"/>
          <w:sz w:val="32"/>
          <w:szCs w:val="32"/>
        </w:rPr>
        <w:t>43号）；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8.《青海省人民政府办公厅转发省财政厅&lt;青海省彩票公益金管理办法&gt;的通知》（青政办</w:t>
      </w:r>
      <w:r>
        <w:rPr>
          <w:rFonts w:hint="eastAsia" w:ascii="仿宋_GB2312" w:hAnsi="仿宋" w:eastAsia="仿宋_GB2312"/>
          <w:sz w:val="32"/>
        </w:rPr>
        <w:t>〔2011〕</w:t>
      </w:r>
      <w:r>
        <w:rPr>
          <w:rFonts w:hint="eastAsia" w:ascii="仿宋_GB2312" w:hAnsi="仿宋" w:eastAsia="仿宋_GB2312"/>
          <w:sz w:val="32"/>
          <w:szCs w:val="32"/>
        </w:rPr>
        <w:t>31号）；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9.《青海省民政厅办公室关于印发&lt;青海省民政厅福利彩票公益金使用管理办法&gt;等五个办法（规定）的通知》（青民办</w:t>
      </w:r>
      <w:r>
        <w:rPr>
          <w:rFonts w:hint="eastAsia" w:ascii="仿宋_GB2312" w:hAnsi="仿宋" w:eastAsia="仿宋_GB2312"/>
          <w:sz w:val="32"/>
        </w:rPr>
        <w:t>〔2019〕</w:t>
      </w:r>
      <w:r>
        <w:rPr>
          <w:rFonts w:hint="eastAsia" w:ascii="仿宋_GB2312" w:hAnsi="仿宋" w:eastAsia="仿宋_GB2312"/>
          <w:sz w:val="32"/>
          <w:szCs w:val="32"/>
        </w:rPr>
        <w:t>95号）；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10.项目资料、会计资料、相关文件、会议纪要以及相关部门获取的基础信息资料。</w:t>
      </w:r>
    </w:p>
    <w:p>
      <w:pPr>
        <w:spacing w:line="580" w:lineRule="exact"/>
        <w:rPr>
          <w:rFonts w:ascii="黑体" w:hAnsi="黑体" w:eastAsia="黑体"/>
          <w:sz w:val="32"/>
          <w:szCs w:val="32"/>
        </w:rPr>
      </w:pPr>
      <w:r>
        <w:rPr>
          <w:rFonts w:hint="eastAsia" w:ascii="黑体" w:hAnsi="黑体" w:eastAsia="黑体"/>
          <w:sz w:val="32"/>
          <w:szCs w:val="32"/>
        </w:rPr>
        <w:t xml:space="preserve">    四、评价原则</w:t>
      </w:r>
    </w:p>
    <w:p>
      <w:pPr>
        <w:spacing w:line="580" w:lineRule="exact"/>
        <w:ind w:firstLine="643" w:firstLineChars="200"/>
        <w:rPr>
          <w:rFonts w:ascii="仿宋_GB2312" w:hAnsi="仿宋" w:eastAsia="仿宋_GB2312"/>
          <w:sz w:val="32"/>
          <w:szCs w:val="32"/>
        </w:rPr>
      </w:pPr>
      <w:r>
        <w:rPr>
          <w:rFonts w:hint="eastAsia" w:ascii="楷体" w:hAnsi="楷体" w:eastAsia="楷体"/>
          <w:b/>
          <w:sz w:val="32"/>
          <w:szCs w:val="32"/>
        </w:rPr>
        <w:t>（一）客观公正</w:t>
      </w:r>
      <w:r>
        <w:rPr>
          <w:rFonts w:hint="eastAsia" w:ascii="仿宋_GB2312" w:hAnsi="楷体" w:eastAsia="仿宋_GB2312"/>
          <w:b/>
          <w:sz w:val="32"/>
          <w:szCs w:val="32"/>
        </w:rPr>
        <w:t>。</w:t>
      </w:r>
      <w:r>
        <w:rPr>
          <w:rFonts w:hint="eastAsia" w:ascii="仿宋_GB2312" w:hAnsi="仿宋" w:eastAsia="仿宋_GB2312"/>
          <w:sz w:val="32"/>
          <w:szCs w:val="32"/>
        </w:rPr>
        <w:t>联系实际、实事求是、精准评价，客观反映成绩、分析效益、揭示问题、提出建议。</w:t>
      </w:r>
    </w:p>
    <w:p>
      <w:pPr>
        <w:spacing w:line="580" w:lineRule="exact"/>
        <w:ind w:firstLine="643" w:firstLineChars="200"/>
        <w:rPr>
          <w:rFonts w:ascii="仿宋_GB2312" w:hAnsi="仿宋" w:eastAsia="仿宋_GB2312"/>
          <w:sz w:val="32"/>
          <w:szCs w:val="32"/>
        </w:rPr>
      </w:pPr>
      <w:r>
        <w:rPr>
          <w:rFonts w:hint="eastAsia" w:ascii="楷体" w:hAnsi="楷体" w:eastAsia="楷体"/>
          <w:b/>
          <w:sz w:val="32"/>
          <w:szCs w:val="32"/>
        </w:rPr>
        <w:t>（二）科学合理。</w:t>
      </w:r>
      <w:r>
        <w:rPr>
          <w:rFonts w:hint="eastAsia" w:ascii="仿宋_GB2312" w:hAnsi="仿宋" w:eastAsia="仿宋_GB2312"/>
          <w:sz w:val="32"/>
          <w:szCs w:val="32"/>
        </w:rPr>
        <w:t>围绕彩票公益金的使用方向，通过项目实施过程、实施效果、服务对象满意度测评等，客观、准确、公平、公正的评价财政支出绩效。</w:t>
      </w:r>
    </w:p>
    <w:p>
      <w:pPr>
        <w:spacing w:line="580" w:lineRule="exact"/>
        <w:ind w:firstLine="643" w:firstLineChars="200"/>
        <w:rPr>
          <w:rFonts w:ascii="仿宋_GB2312" w:hAnsi="仿宋" w:eastAsia="仿宋_GB2312"/>
          <w:sz w:val="32"/>
          <w:szCs w:val="32"/>
        </w:rPr>
      </w:pPr>
      <w:r>
        <w:rPr>
          <w:rFonts w:hint="eastAsia" w:ascii="楷体" w:hAnsi="楷体" w:eastAsia="楷体"/>
          <w:b/>
          <w:sz w:val="32"/>
          <w:szCs w:val="32"/>
        </w:rPr>
        <w:t>（三）重点突出。</w:t>
      </w:r>
      <w:r>
        <w:rPr>
          <w:rFonts w:hint="eastAsia" w:ascii="仿宋_GB2312" w:hAnsi="仿宋" w:eastAsia="仿宋_GB2312"/>
          <w:sz w:val="32"/>
          <w:szCs w:val="32"/>
        </w:rPr>
        <w:t>绩效评价应当抓住关键环节，突出重点内容，促进社会组织改进服务，提升社会服务水平，保证服务对象受益。</w:t>
      </w:r>
    </w:p>
    <w:p>
      <w:pPr>
        <w:spacing w:line="580" w:lineRule="exact"/>
        <w:rPr>
          <w:rFonts w:ascii="黑体" w:hAnsi="黑体" w:eastAsia="黑体"/>
          <w:sz w:val="32"/>
          <w:szCs w:val="32"/>
        </w:rPr>
      </w:pPr>
      <w:r>
        <w:rPr>
          <w:rFonts w:hint="eastAsia" w:ascii="黑体" w:hAnsi="黑体" w:eastAsia="黑体"/>
          <w:sz w:val="32"/>
          <w:szCs w:val="32"/>
        </w:rPr>
        <w:t xml:space="preserve">    五、评价方法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绩效评价采取定量与定性相结合、单位自评和第三方评价相结合的方式进行绩效评价。绩效评价结果采用综合评分，满分为100分。评价档次分为优秀、良好、合格、不合格四个等级。</w:t>
      </w:r>
    </w:p>
    <w:p>
      <w:pPr>
        <w:rPr>
          <w:rFonts w:ascii="黑体" w:hAnsi="黑体" w:eastAsia="黑体"/>
          <w:sz w:val="32"/>
          <w:szCs w:val="32"/>
        </w:rPr>
      </w:pPr>
      <w:r>
        <w:rPr>
          <w:rFonts w:hint="eastAsia" w:ascii="黑体" w:hAnsi="黑体" w:eastAsia="黑体"/>
          <w:sz w:val="32"/>
          <w:szCs w:val="32"/>
        </w:rPr>
        <w:t xml:space="preserve">    六、指标体系</w:t>
      </w:r>
      <w:r>
        <w:rPr>
          <w:rFonts w:hint="eastAsia" w:ascii="黑体" w:hAnsi="黑体" w:eastAsia="黑体"/>
          <w:sz w:val="32"/>
          <w:szCs w:val="32"/>
        </w:rPr>
        <w:tab/>
      </w:r>
    </w:p>
    <w:p>
      <w:pPr>
        <w:jc w:val="center"/>
        <w:rPr>
          <w:rFonts w:ascii="仿宋" w:hAnsi="仿宋" w:eastAsia="仿宋"/>
          <w:sz w:val="32"/>
          <w:szCs w:val="32"/>
        </w:rPr>
      </w:pPr>
      <w:r>
        <w:rPr>
          <w:rFonts w:hint="eastAsia" w:ascii="仿宋" w:hAnsi="仿宋" w:eastAsia="仿宋"/>
          <w:sz w:val="32"/>
          <w:szCs w:val="32"/>
        </w:rPr>
        <w:t>福彩公益金项目绩效评价指标体系</w:t>
      </w:r>
    </w:p>
    <w:tbl>
      <w:tblPr>
        <w:tblStyle w:val="3"/>
        <w:tblW w:w="0" w:type="auto"/>
        <w:tblInd w:w="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561"/>
        <w:gridCol w:w="1568"/>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4" w:type="dxa"/>
            <w:vMerge w:val="restart"/>
            <w:vAlign w:val="center"/>
          </w:tcPr>
          <w:p>
            <w:pPr>
              <w:shd w:val="clear" w:color="auto" w:fill="FFFFFF"/>
              <w:spacing w:line="555" w:lineRule="atLeast"/>
              <w:ind w:firstLine="645"/>
              <w:rPr>
                <w:rFonts w:ascii="仿宋" w:hAnsi="仿宋" w:eastAsia="仿宋" w:cs="宋体"/>
                <w:color w:val="4C4C4C"/>
                <w:kern w:val="0"/>
                <w:szCs w:val="21"/>
              </w:rPr>
            </w:pPr>
          </w:p>
          <w:p>
            <w:pPr>
              <w:rPr>
                <w:rFonts w:ascii="仿宋" w:hAnsi="仿宋" w:eastAsia="仿宋" w:cs="宋体"/>
                <w:szCs w:val="21"/>
              </w:rPr>
            </w:pPr>
            <w:r>
              <w:rPr>
                <w:rFonts w:hint="eastAsia" w:ascii="仿宋" w:hAnsi="仿宋" w:eastAsia="仿宋" w:cs="宋体"/>
                <w:szCs w:val="21"/>
              </w:rPr>
              <w:t>绩</w:t>
            </w:r>
          </w:p>
          <w:p>
            <w:pPr>
              <w:rPr>
                <w:rFonts w:ascii="仿宋" w:hAnsi="仿宋" w:eastAsia="仿宋" w:cs="宋体"/>
                <w:szCs w:val="21"/>
              </w:rPr>
            </w:pPr>
            <w:r>
              <w:rPr>
                <w:rFonts w:hint="eastAsia" w:ascii="仿宋" w:hAnsi="仿宋" w:eastAsia="仿宋" w:cs="宋体"/>
                <w:szCs w:val="21"/>
              </w:rPr>
              <w:t>效</w:t>
            </w:r>
          </w:p>
          <w:p>
            <w:pPr>
              <w:rPr>
                <w:rFonts w:ascii="仿宋" w:hAnsi="仿宋" w:eastAsia="仿宋" w:cs="宋体"/>
                <w:szCs w:val="21"/>
              </w:rPr>
            </w:pPr>
            <w:r>
              <w:rPr>
                <w:rFonts w:hint="eastAsia" w:ascii="仿宋" w:hAnsi="仿宋" w:eastAsia="仿宋" w:cs="宋体"/>
                <w:szCs w:val="21"/>
              </w:rPr>
              <w:t>指</w:t>
            </w:r>
          </w:p>
          <w:p>
            <w:pPr>
              <w:rPr>
                <w:rFonts w:ascii="仿宋" w:hAnsi="仿宋" w:eastAsia="仿宋" w:cs="宋体"/>
                <w:szCs w:val="21"/>
              </w:rPr>
            </w:pPr>
            <w:r>
              <w:rPr>
                <w:rFonts w:hint="eastAsia" w:ascii="仿宋" w:hAnsi="仿宋" w:eastAsia="仿宋" w:cs="宋体"/>
                <w:szCs w:val="21"/>
              </w:rPr>
              <w:t>标</w:t>
            </w:r>
          </w:p>
        </w:tc>
        <w:tc>
          <w:tcPr>
            <w:tcW w:w="1561" w:type="dxa"/>
            <w:vAlign w:val="center"/>
          </w:tcPr>
          <w:p>
            <w:pPr>
              <w:rPr>
                <w:rFonts w:ascii="仿宋" w:hAnsi="仿宋" w:eastAsia="仿宋"/>
                <w:szCs w:val="20"/>
              </w:rPr>
            </w:pPr>
            <w:r>
              <w:rPr>
                <w:rFonts w:hint="eastAsia" w:ascii="仿宋" w:hAnsi="仿宋" w:eastAsia="仿宋"/>
                <w:szCs w:val="20"/>
              </w:rPr>
              <w:t>一级指标</w:t>
            </w:r>
          </w:p>
        </w:tc>
        <w:tc>
          <w:tcPr>
            <w:tcW w:w="1568" w:type="dxa"/>
            <w:vAlign w:val="center"/>
          </w:tcPr>
          <w:p>
            <w:pPr>
              <w:rPr>
                <w:rFonts w:ascii="仿宋" w:hAnsi="仿宋" w:eastAsia="仿宋"/>
                <w:szCs w:val="20"/>
              </w:rPr>
            </w:pPr>
            <w:r>
              <w:rPr>
                <w:rFonts w:hint="eastAsia" w:ascii="仿宋" w:hAnsi="仿宋" w:eastAsia="仿宋"/>
                <w:szCs w:val="20"/>
              </w:rPr>
              <w:t>二级指标</w:t>
            </w:r>
          </w:p>
        </w:tc>
        <w:tc>
          <w:tcPr>
            <w:tcW w:w="3750" w:type="dxa"/>
            <w:vAlign w:val="center"/>
          </w:tcPr>
          <w:p>
            <w:pPr>
              <w:rPr>
                <w:rFonts w:ascii="仿宋" w:hAnsi="仿宋" w:eastAsia="仿宋"/>
                <w:szCs w:val="20"/>
              </w:rPr>
            </w:pPr>
            <w:r>
              <w:rPr>
                <w:rFonts w:hint="eastAsia" w:ascii="仿宋" w:hAnsi="仿宋" w:eastAsia="仿宋"/>
                <w:szCs w:val="2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4" w:type="dxa"/>
            <w:vMerge w:val="continue"/>
            <w:vAlign w:val="center"/>
          </w:tcPr>
          <w:p>
            <w:pPr>
              <w:shd w:val="clear" w:color="auto" w:fill="FFFFFF"/>
              <w:spacing w:line="555" w:lineRule="atLeast"/>
              <w:ind w:firstLine="645"/>
              <w:rPr>
                <w:rFonts w:ascii="仿宋" w:hAnsi="仿宋" w:eastAsia="仿宋" w:cs="宋体"/>
                <w:color w:val="4C4C4C"/>
                <w:kern w:val="0"/>
                <w:szCs w:val="21"/>
              </w:rPr>
            </w:pPr>
          </w:p>
        </w:tc>
        <w:tc>
          <w:tcPr>
            <w:tcW w:w="1561" w:type="dxa"/>
            <w:vMerge w:val="restart"/>
            <w:vAlign w:val="center"/>
          </w:tcPr>
          <w:p>
            <w:pPr>
              <w:rPr>
                <w:rFonts w:ascii="仿宋" w:hAnsi="仿宋" w:eastAsia="仿宋"/>
                <w:szCs w:val="20"/>
              </w:rPr>
            </w:pPr>
            <w:r>
              <w:rPr>
                <w:rFonts w:hint="eastAsia" w:ascii="仿宋" w:hAnsi="仿宋" w:eastAsia="仿宋"/>
                <w:szCs w:val="20"/>
              </w:rPr>
              <w:t>产出指标</w:t>
            </w:r>
          </w:p>
        </w:tc>
        <w:tc>
          <w:tcPr>
            <w:tcW w:w="1568" w:type="dxa"/>
            <w:vAlign w:val="center"/>
          </w:tcPr>
          <w:p>
            <w:pPr>
              <w:rPr>
                <w:rFonts w:ascii="仿宋" w:hAnsi="仿宋" w:eastAsia="仿宋"/>
                <w:szCs w:val="20"/>
              </w:rPr>
            </w:pPr>
            <w:r>
              <w:rPr>
                <w:rFonts w:hint="eastAsia" w:ascii="仿宋" w:hAnsi="仿宋" w:eastAsia="仿宋"/>
                <w:szCs w:val="20"/>
              </w:rPr>
              <w:t>产出数量</w:t>
            </w:r>
          </w:p>
        </w:tc>
        <w:tc>
          <w:tcPr>
            <w:tcW w:w="3750" w:type="dxa"/>
            <w:vAlign w:val="center"/>
          </w:tcPr>
          <w:p>
            <w:pPr>
              <w:rPr>
                <w:rFonts w:ascii="仿宋" w:hAnsi="仿宋" w:eastAsia="仿宋"/>
                <w:szCs w:val="20"/>
              </w:rPr>
            </w:pPr>
            <w:r>
              <w:rPr>
                <w:rFonts w:hint="eastAsia" w:ascii="仿宋" w:hAnsi="仿宋" w:eastAsia="仿宋"/>
                <w:szCs w:val="20"/>
              </w:rPr>
              <w:t>实际完成率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4" w:type="dxa"/>
            <w:vMerge w:val="continue"/>
            <w:vAlign w:val="center"/>
          </w:tcPr>
          <w:p>
            <w:pPr>
              <w:shd w:val="clear" w:color="auto" w:fill="FFFFFF"/>
              <w:spacing w:line="555" w:lineRule="atLeast"/>
              <w:ind w:firstLine="645"/>
              <w:rPr>
                <w:rFonts w:ascii="仿宋" w:hAnsi="仿宋" w:eastAsia="仿宋" w:cs="宋体"/>
                <w:color w:val="4C4C4C"/>
                <w:kern w:val="0"/>
                <w:szCs w:val="21"/>
              </w:rPr>
            </w:pPr>
          </w:p>
        </w:tc>
        <w:tc>
          <w:tcPr>
            <w:tcW w:w="1561" w:type="dxa"/>
            <w:vMerge w:val="continue"/>
            <w:vAlign w:val="center"/>
          </w:tcPr>
          <w:p>
            <w:pPr>
              <w:rPr>
                <w:rFonts w:ascii="仿宋" w:hAnsi="仿宋" w:eastAsia="仿宋"/>
                <w:szCs w:val="20"/>
              </w:rPr>
            </w:pPr>
          </w:p>
        </w:tc>
        <w:tc>
          <w:tcPr>
            <w:tcW w:w="1568" w:type="dxa"/>
            <w:vAlign w:val="center"/>
          </w:tcPr>
          <w:p>
            <w:pPr>
              <w:rPr>
                <w:rFonts w:ascii="仿宋" w:hAnsi="仿宋" w:eastAsia="仿宋"/>
                <w:szCs w:val="20"/>
              </w:rPr>
            </w:pPr>
            <w:r>
              <w:rPr>
                <w:rFonts w:hint="eastAsia" w:ascii="仿宋" w:hAnsi="仿宋" w:eastAsia="仿宋"/>
                <w:szCs w:val="20"/>
              </w:rPr>
              <w:t>产出质量</w:t>
            </w:r>
          </w:p>
        </w:tc>
        <w:tc>
          <w:tcPr>
            <w:tcW w:w="3750" w:type="dxa"/>
            <w:vAlign w:val="center"/>
          </w:tcPr>
          <w:p>
            <w:pPr>
              <w:rPr>
                <w:rFonts w:ascii="仿宋" w:hAnsi="仿宋" w:eastAsia="仿宋"/>
                <w:szCs w:val="20"/>
              </w:rPr>
            </w:pPr>
            <w:r>
              <w:rPr>
                <w:rFonts w:hint="eastAsia" w:ascii="仿宋" w:hAnsi="仿宋" w:eastAsia="仿宋"/>
                <w:szCs w:val="20"/>
              </w:rPr>
              <w:t>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24" w:type="dxa"/>
            <w:vMerge w:val="continue"/>
            <w:vAlign w:val="center"/>
          </w:tcPr>
          <w:p>
            <w:pPr>
              <w:shd w:val="clear" w:color="auto" w:fill="FFFFFF"/>
              <w:spacing w:line="555" w:lineRule="atLeast"/>
              <w:ind w:firstLine="645"/>
              <w:rPr>
                <w:rFonts w:ascii="仿宋" w:hAnsi="仿宋" w:eastAsia="仿宋" w:cs="宋体"/>
                <w:color w:val="4C4C4C"/>
                <w:kern w:val="0"/>
                <w:szCs w:val="21"/>
              </w:rPr>
            </w:pPr>
          </w:p>
        </w:tc>
        <w:tc>
          <w:tcPr>
            <w:tcW w:w="1561" w:type="dxa"/>
            <w:vMerge w:val="continue"/>
            <w:vAlign w:val="center"/>
          </w:tcPr>
          <w:p>
            <w:pPr>
              <w:rPr>
                <w:rFonts w:ascii="仿宋" w:hAnsi="仿宋" w:eastAsia="仿宋"/>
                <w:szCs w:val="20"/>
              </w:rPr>
            </w:pPr>
          </w:p>
        </w:tc>
        <w:tc>
          <w:tcPr>
            <w:tcW w:w="1568" w:type="dxa"/>
            <w:vAlign w:val="center"/>
          </w:tcPr>
          <w:p>
            <w:pPr>
              <w:rPr>
                <w:rFonts w:ascii="仿宋" w:hAnsi="仿宋" w:eastAsia="仿宋"/>
                <w:szCs w:val="20"/>
              </w:rPr>
            </w:pPr>
            <w:r>
              <w:rPr>
                <w:rFonts w:hint="eastAsia" w:ascii="仿宋" w:hAnsi="仿宋" w:eastAsia="仿宋"/>
                <w:szCs w:val="20"/>
              </w:rPr>
              <w:t>产出时效</w:t>
            </w:r>
          </w:p>
        </w:tc>
        <w:tc>
          <w:tcPr>
            <w:tcW w:w="3750" w:type="dxa"/>
            <w:vAlign w:val="center"/>
          </w:tcPr>
          <w:p>
            <w:pPr>
              <w:rPr>
                <w:rFonts w:ascii="仿宋" w:hAnsi="仿宋" w:eastAsia="仿宋"/>
                <w:szCs w:val="20"/>
              </w:rPr>
            </w:pPr>
            <w:r>
              <w:rPr>
                <w:rFonts w:hint="eastAsia" w:ascii="仿宋" w:hAnsi="仿宋" w:eastAsia="仿宋"/>
                <w:szCs w:val="20"/>
              </w:rPr>
              <w:t>完成及时性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4" w:type="dxa"/>
            <w:vMerge w:val="continue"/>
            <w:vAlign w:val="center"/>
          </w:tcPr>
          <w:p>
            <w:pPr>
              <w:shd w:val="clear" w:color="auto" w:fill="FFFFFF"/>
              <w:spacing w:line="555" w:lineRule="atLeast"/>
              <w:ind w:firstLine="645"/>
              <w:rPr>
                <w:rFonts w:ascii="仿宋" w:hAnsi="仿宋" w:eastAsia="仿宋" w:cs="宋体"/>
                <w:color w:val="4C4C4C"/>
                <w:kern w:val="0"/>
                <w:szCs w:val="21"/>
              </w:rPr>
            </w:pPr>
          </w:p>
        </w:tc>
        <w:tc>
          <w:tcPr>
            <w:tcW w:w="1561" w:type="dxa"/>
            <w:vMerge w:val="restart"/>
            <w:vAlign w:val="center"/>
          </w:tcPr>
          <w:p>
            <w:pPr>
              <w:rPr>
                <w:rFonts w:ascii="仿宋" w:hAnsi="仿宋" w:eastAsia="仿宋"/>
                <w:szCs w:val="20"/>
              </w:rPr>
            </w:pPr>
            <w:r>
              <w:rPr>
                <w:rFonts w:hint="eastAsia" w:ascii="仿宋" w:hAnsi="仿宋" w:eastAsia="仿宋"/>
                <w:szCs w:val="20"/>
              </w:rPr>
              <w:t>效益指标</w:t>
            </w:r>
          </w:p>
        </w:tc>
        <w:tc>
          <w:tcPr>
            <w:tcW w:w="1568" w:type="dxa"/>
            <w:vMerge w:val="restart"/>
            <w:vAlign w:val="center"/>
          </w:tcPr>
          <w:p>
            <w:pPr>
              <w:rPr>
                <w:rFonts w:ascii="仿宋" w:hAnsi="仿宋" w:eastAsia="仿宋"/>
                <w:szCs w:val="20"/>
              </w:rPr>
            </w:pPr>
            <w:r>
              <w:rPr>
                <w:rFonts w:hint="eastAsia" w:ascii="仿宋" w:hAnsi="仿宋" w:eastAsia="仿宋"/>
                <w:szCs w:val="20"/>
              </w:rPr>
              <w:t>社会效益指标</w:t>
            </w:r>
          </w:p>
        </w:tc>
        <w:tc>
          <w:tcPr>
            <w:tcW w:w="3750" w:type="dxa"/>
            <w:vAlign w:val="center"/>
          </w:tcPr>
          <w:p>
            <w:pPr>
              <w:rPr>
                <w:rFonts w:ascii="仿宋" w:hAnsi="仿宋" w:eastAsia="仿宋"/>
                <w:szCs w:val="20"/>
              </w:rPr>
            </w:pPr>
            <w:r>
              <w:rPr>
                <w:rFonts w:hint="eastAsia" w:ascii="仿宋" w:hAnsi="仿宋" w:eastAsia="仿宋"/>
                <w:szCs w:val="20"/>
              </w:rPr>
              <w:t>服务覆盖情况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4" w:type="dxa"/>
            <w:vMerge w:val="continue"/>
            <w:vAlign w:val="center"/>
          </w:tcPr>
          <w:p>
            <w:pPr>
              <w:shd w:val="clear" w:color="auto" w:fill="FFFFFF"/>
              <w:spacing w:line="555" w:lineRule="atLeast"/>
              <w:ind w:firstLine="645"/>
              <w:rPr>
                <w:rFonts w:ascii="仿宋" w:hAnsi="仿宋" w:eastAsia="仿宋" w:cs="宋体"/>
                <w:color w:val="4C4C4C"/>
                <w:kern w:val="0"/>
                <w:szCs w:val="21"/>
              </w:rPr>
            </w:pPr>
          </w:p>
        </w:tc>
        <w:tc>
          <w:tcPr>
            <w:tcW w:w="1561" w:type="dxa"/>
            <w:vMerge w:val="continue"/>
            <w:vAlign w:val="center"/>
          </w:tcPr>
          <w:p>
            <w:pPr>
              <w:rPr>
                <w:rFonts w:ascii="仿宋" w:hAnsi="仿宋" w:eastAsia="仿宋"/>
                <w:szCs w:val="20"/>
              </w:rPr>
            </w:pPr>
          </w:p>
        </w:tc>
        <w:tc>
          <w:tcPr>
            <w:tcW w:w="1568" w:type="dxa"/>
            <w:vMerge w:val="continue"/>
            <w:vAlign w:val="center"/>
          </w:tcPr>
          <w:p>
            <w:pPr>
              <w:rPr>
                <w:rFonts w:ascii="仿宋" w:hAnsi="仿宋" w:eastAsia="仿宋"/>
                <w:szCs w:val="20"/>
              </w:rPr>
            </w:pPr>
          </w:p>
        </w:tc>
        <w:tc>
          <w:tcPr>
            <w:tcW w:w="3750" w:type="dxa"/>
            <w:vAlign w:val="center"/>
          </w:tcPr>
          <w:p>
            <w:pPr>
              <w:rPr>
                <w:rFonts w:ascii="仿宋" w:hAnsi="仿宋" w:eastAsia="仿宋"/>
                <w:szCs w:val="20"/>
              </w:rPr>
            </w:pPr>
            <w:r>
              <w:rPr>
                <w:rFonts w:hint="eastAsia" w:ascii="仿宋" w:hAnsi="仿宋" w:eastAsia="仿宋"/>
                <w:szCs w:val="20"/>
              </w:rPr>
              <w:t>带动社会福利事业相关产业发展情况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24" w:type="dxa"/>
            <w:vMerge w:val="continue"/>
            <w:vAlign w:val="center"/>
          </w:tcPr>
          <w:p>
            <w:pPr>
              <w:shd w:val="clear" w:color="auto" w:fill="FFFFFF"/>
              <w:spacing w:line="555" w:lineRule="atLeast"/>
              <w:ind w:firstLine="645"/>
              <w:rPr>
                <w:rFonts w:ascii="仿宋" w:hAnsi="仿宋" w:eastAsia="仿宋" w:cs="宋体"/>
                <w:color w:val="4C4C4C"/>
                <w:kern w:val="0"/>
                <w:szCs w:val="21"/>
              </w:rPr>
            </w:pPr>
          </w:p>
        </w:tc>
        <w:tc>
          <w:tcPr>
            <w:tcW w:w="1561" w:type="dxa"/>
            <w:vMerge w:val="continue"/>
            <w:vAlign w:val="center"/>
          </w:tcPr>
          <w:p>
            <w:pPr>
              <w:rPr>
                <w:rFonts w:ascii="仿宋" w:hAnsi="仿宋" w:eastAsia="仿宋"/>
                <w:szCs w:val="20"/>
              </w:rPr>
            </w:pPr>
          </w:p>
        </w:tc>
        <w:tc>
          <w:tcPr>
            <w:tcW w:w="1568" w:type="dxa"/>
            <w:vMerge w:val="restart"/>
            <w:vAlign w:val="center"/>
          </w:tcPr>
          <w:p>
            <w:pPr>
              <w:rPr>
                <w:rFonts w:ascii="仿宋" w:hAnsi="仿宋" w:eastAsia="仿宋"/>
                <w:szCs w:val="20"/>
              </w:rPr>
            </w:pPr>
            <w:r>
              <w:rPr>
                <w:rFonts w:hint="eastAsia" w:ascii="仿宋" w:hAnsi="仿宋" w:eastAsia="仿宋"/>
                <w:szCs w:val="20"/>
              </w:rPr>
              <w:t>可持续影响指标</w:t>
            </w:r>
          </w:p>
        </w:tc>
        <w:tc>
          <w:tcPr>
            <w:tcW w:w="3750" w:type="dxa"/>
            <w:vAlign w:val="center"/>
          </w:tcPr>
          <w:p>
            <w:pPr>
              <w:rPr>
                <w:rFonts w:ascii="仿宋" w:hAnsi="仿宋" w:eastAsia="仿宋"/>
                <w:szCs w:val="20"/>
              </w:rPr>
            </w:pPr>
            <w:r>
              <w:rPr>
                <w:rFonts w:hint="eastAsia" w:ascii="仿宋" w:hAnsi="仿宋" w:eastAsia="仿宋"/>
                <w:szCs w:val="20"/>
              </w:rPr>
              <w:t>促进社会公平、稳定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4" w:type="dxa"/>
            <w:vMerge w:val="continue"/>
            <w:vAlign w:val="center"/>
          </w:tcPr>
          <w:p>
            <w:pPr>
              <w:shd w:val="clear" w:color="auto" w:fill="FFFFFF"/>
              <w:spacing w:line="555" w:lineRule="atLeast"/>
              <w:ind w:firstLine="645"/>
              <w:rPr>
                <w:rFonts w:ascii="仿宋" w:hAnsi="仿宋" w:eastAsia="仿宋" w:cs="宋体"/>
                <w:color w:val="4C4C4C"/>
                <w:kern w:val="0"/>
                <w:szCs w:val="21"/>
              </w:rPr>
            </w:pPr>
          </w:p>
        </w:tc>
        <w:tc>
          <w:tcPr>
            <w:tcW w:w="1561" w:type="dxa"/>
            <w:vMerge w:val="continue"/>
            <w:vAlign w:val="center"/>
          </w:tcPr>
          <w:p>
            <w:pPr>
              <w:rPr>
                <w:rFonts w:ascii="仿宋" w:hAnsi="仿宋" w:eastAsia="仿宋"/>
                <w:szCs w:val="20"/>
              </w:rPr>
            </w:pPr>
          </w:p>
        </w:tc>
        <w:tc>
          <w:tcPr>
            <w:tcW w:w="1568" w:type="dxa"/>
            <w:vMerge w:val="continue"/>
            <w:vAlign w:val="center"/>
          </w:tcPr>
          <w:p>
            <w:pPr>
              <w:rPr>
                <w:rFonts w:ascii="仿宋" w:hAnsi="仿宋" w:eastAsia="仿宋"/>
                <w:szCs w:val="20"/>
              </w:rPr>
            </w:pPr>
          </w:p>
        </w:tc>
        <w:tc>
          <w:tcPr>
            <w:tcW w:w="3750" w:type="dxa"/>
            <w:vAlign w:val="center"/>
          </w:tcPr>
          <w:p>
            <w:pPr>
              <w:rPr>
                <w:rFonts w:ascii="仿宋" w:hAnsi="仿宋" w:eastAsia="仿宋"/>
                <w:szCs w:val="20"/>
              </w:rPr>
            </w:pPr>
            <w:r>
              <w:rPr>
                <w:rFonts w:hint="eastAsia" w:ascii="仿宋" w:hAnsi="仿宋" w:eastAsia="仿宋"/>
                <w:szCs w:val="20"/>
              </w:rPr>
              <w:t>带动社会福利事业发展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24" w:type="dxa"/>
            <w:vMerge w:val="continue"/>
            <w:vAlign w:val="center"/>
          </w:tcPr>
          <w:p>
            <w:pPr>
              <w:shd w:val="clear" w:color="auto" w:fill="FFFFFF"/>
              <w:spacing w:line="555" w:lineRule="atLeast"/>
              <w:ind w:firstLine="645"/>
              <w:rPr>
                <w:rFonts w:ascii="仿宋" w:hAnsi="仿宋" w:eastAsia="仿宋" w:cs="宋体"/>
                <w:color w:val="4C4C4C"/>
                <w:kern w:val="0"/>
                <w:szCs w:val="21"/>
              </w:rPr>
            </w:pPr>
          </w:p>
        </w:tc>
        <w:tc>
          <w:tcPr>
            <w:tcW w:w="1561" w:type="dxa"/>
            <w:vAlign w:val="center"/>
          </w:tcPr>
          <w:p>
            <w:pPr>
              <w:rPr>
                <w:rFonts w:ascii="仿宋" w:hAnsi="仿宋" w:eastAsia="仿宋"/>
                <w:szCs w:val="20"/>
              </w:rPr>
            </w:pPr>
            <w:r>
              <w:rPr>
                <w:rFonts w:hint="eastAsia" w:ascii="仿宋" w:hAnsi="仿宋" w:eastAsia="仿宋"/>
                <w:szCs w:val="20"/>
              </w:rPr>
              <w:t>满意度指标</w:t>
            </w:r>
          </w:p>
        </w:tc>
        <w:tc>
          <w:tcPr>
            <w:tcW w:w="1568" w:type="dxa"/>
            <w:vAlign w:val="center"/>
          </w:tcPr>
          <w:p>
            <w:pPr>
              <w:rPr>
                <w:rFonts w:ascii="仿宋" w:hAnsi="仿宋" w:eastAsia="仿宋"/>
                <w:szCs w:val="20"/>
              </w:rPr>
            </w:pPr>
            <w:r>
              <w:rPr>
                <w:rFonts w:hint="eastAsia" w:ascii="仿宋" w:hAnsi="仿宋" w:eastAsia="仿宋"/>
                <w:szCs w:val="20"/>
              </w:rPr>
              <w:t>服务对象满意度指标</w:t>
            </w:r>
          </w:p>
        </w:tc>
        <w:tc>
          <w:tcPr>
            <w:tcW w:w="3750" w:type="dxa"/>
            <w:vAlign w:val="center"/>
          </w:tcPr>
          <w:p>
            <w:pPr>
              <w:rPr>
                <w:rFonts w:ascii="仿宋" w:hAnsi="仿宋" w:eastAsia="仿宋"/>
                <w:szCs w:val="20"/>
              </w:rPr>
            </w:pPr>
            <w:r>
              <w:rPr>
                <w:rFonts w:hint="eastAsia" w:ascii="仿宋" w:hAnsi="仿宋" w:eastAsia="仿宋"/>
                <w:szCs w:val="20"/>
              </w:rPr>
              <w:t>服务对象满意度</w:t>
            </w:r>
          </w:p>
        </w:tc>
      </w:tr>
    </w:tbl>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七、评价结果的运用</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绩效评价实行百分制。90分（含90分）以上为优秀，80—89分为良好，60-79分为合格，60分以下为不合格。</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（一）评价结果为“优秀”等次的社会组织，全额拨付剩余资金，下一年度可优先申报项目。</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（二）评价结果为“良好”等次的社会组织，全额拨付剩余资金，下一年度可继续申报项目。</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（三）评价结果为“合格”等次的社会组织，对指出问题进行整改，待整改完成并通过验收后，全额拨付剩余资金，下一年度申报项目仅限1个。</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（四）评价结果为“不合格”的社会组织，不予拨付剩余资金，收回先期拨付资金，取消下一年度申报项目资格。</w:t>
      </w:r>
    </w:p>
    <w:p>
      <w:pPr>
        <w:spacing w:line="580" w:lineRule="exact"/>
        <w:ind w:firstLine="640" w:firstLineChars="200"/>
        <w:rPr>
          <w:rFonts w:ascii="黑体" w:hAnsi="黑体" w:eastAsia="黑体"/>
          <w:color w:val="000000"/>
          <w:sz w:val="32"/>
          <w:szCs w:val="36"/>
        </w:rPr>
      </w:pPr>
      <w:r>
        <w:rPr>
          <w:rFonts w:hint="eastAsia" w:ascii="黑体" w:hAnsi="黑体" w:eastAsia="黑体"/>
          <w:color w:val="000000"/>
          <w:sz w:val="32"/>
          <w:szCs w:val="36"/>
        </w:rPr>
        <w:t>八、申诉与复核</w:t>
      </w:r>
    </w:p>
    <w:p>
      <w:pPr>
        <w:widowControl/>
        <w:spacing w:line="58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社会组织对绩效评价结果持有异议的，可在绩效评价结果发布之日起5个工作日内向省民政厅或受委托的第三方评价机构提出复核建议，省民政厅或受委托的第三方评价机构应当对绩效评价结果进行复核，并在5个工作日内书面答复社会组织，复核结果为最终结果。</w:t>
      </w:r>
    </w:p>
    <w:p>
      <w:pPr>
        <w:widowControl/>
        <w:spacing w:line="600" w:lineRule="exact"/>
        <w:ind w:firstLine="640" w:firstLineChars="200"/>
        <w:jc w:val="left"/>
        <w:rPr>
          <w:rFonts w:ascii="仿宋" w:hAnsi="仿宋" w:eastAsia="仿宋"/>
          <w:color w:val="000000"/>
          <w:sz w:val="32"/>
          <w:szCs w:val="32"/>
        </w:rPr>
      </w:pPr>
    </w:p>
    <w:p>
      <w:pPr>
        <w:widowControl/>
        <w:spacing w:line="600" w:lineRule="exact"/>
        <w:ind w:firstLine="640" w:firstLineChars="200"/>
        <w:jc w:val="left"/>
        <w:rPr>
          <w:rFonts w:ascii="仿宋" w:hAnsi="仿宋" w:eastAsia="仿宋"/>
          <w:color w:val="000000"/>
          <w:sz w:val="32"/>
          <w:szCs w:val="32"/>
        </w:rPr>
      </w:pPr>
    </w:p>
    <w:p>
      <w:pPr>
        <w:widowControl/>
        <w:spacing w:line="600" w:lineRule="exact"/>
        <w:ind w:firstLine="640" w:firstLineChars="200"/>
        <w:jc w:val="left"/>
        <w:rPr>
          <w:rFonts w:ascii="仿宋" w:hAnsi="仿宋" w:eastAsia="仿宋"/>
          <w:color w:val="000000"/>
          <w:sz w:val="32"/>
          <w:szCs w:val="32"/>
        </w:rPr>
      </w:pPr>
    </w:p>
    <w:p>
      <w:pPr>
        <w:widowControl/>
        <w:spacing w:line="600" w:lineRule="exact"/>
        <w:ind w:firstLine="640" w:firstLineChars="200"/>
        <w:jc w:val="left"/>
        <w:rPr>
          <w:rFonts w:ascii="仿宋" w:hAnsi="仿宋" w:eastAsia="仿宋"/>
          <w:color w:val="000000"/>
          <w:sz w:val="32"/>
          <w:szCs w:val="32"/>
        </w:rPr>
      </w:pPr>
    </w:p>
    <w:p>
      <w:pPr>
        <w:widowControl/>
        <w:spacing w:line="600" w:lineRule="exact"/>
        <w:ind w:firstLine="640" w:firstLineChars="200"/>
        <w:jc w:val="left"/>
        <w:rPr>
          <w:rFonts w:ascii="仿宋" w:hAnsi="仿宋" w:eastAsia="仿宋"/>
          <w:color w:val="000000"/>
          <w:sz w:val="32"/>
          <w:szCs w:val="32"/>
        </w:rPr>
      </w:pPr>
    </w:p>
    <w:p>
      <w:pPr>
        <w:widowControl/>
        <w:spacing w:line="600" w:lineRule="exact"/>
        <w:ind w:firstLine="640" w:firstLineChars="200"/>
        <w:jc w:val="left"/>
        <w:rPr>
          <w:rFonts w:ascii="仿宋" w:hAnsi="仿宋" w:eastAsia="仿宋"/>
          <w:color w:val="000000"/>
          <w:sz w:val="32"/>
          <w:szCs w:val="32"/>
        </w:rPr>
      </w:pPr>
    </w:p>
    <w:p>
      <w:pPr>
        <w:widowControl/>
        <w:spacing w:line="600" w:lineRule="exact"/>
        <w:ind w:firstLine="640" w:firstLineChars="200"/>
        <w:jc w:val="left"/>
        <w:rPr>
          <w:rFonts w:ascii="仿宋" w:hAnsi="仿宋" w:eastAsia="仿宋"/>
          <w:color w:val="000000"/>
          <w:sz w:val="32"/>
          <w:szCs w:val="32"/>
        </w:rPr>
      </w:pPr>
    </w:p>
    <w:p>
      <w:pPr>
        <w:widowControl/>
        <w:spacing w:line="600" w:lineRule="exact"/>
        <w:ind w:firstLine="640" w:firstLineChars="200"/>
        <w:jc w:val="left"/>
        <w:rPr>
          <w:rFonts w:ascii="仿宋_GB2312" w:hAnsi="仿宋" w:eastAsia="仿宋_GB2312"/>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ascii="黑体" w:hAnsi="黑体" w:eastAsia="黑体"/>
          <w:color w:val="000000"/>
          <w:sz w:val="32"/>
          <w:szCs w:val="32"/>
        </w:rPr>
      </w:pPr>
      <w:r>
        <w:rPr>
          <w:rFonts w:hint="eastAsia" w:ascii="黑体" w:hAnsi="黑体" w:eastAsia="黑体"/>
          <w:color w:val="000000"/>
          <w:sz w:val="32"/>
          <w:szCs w:val="32"/>
        </w:rPr>
        <w:t>附件1-5</w:t>
      </w:r>
    </w:p>
    <w:p>
      <w:pPr>
        <w:spacing w:line="600" w:lineRule="exact"/>
        <w:rPr>
          <w:rFonts w:ascii="仿宋" w:hAnsi="仿宋" w:eastAsia="仿宋"/>
          <w:color w:val="000000"/>
          <w:sz w:val="32"/>
          <w:szCs w:val="32"/>
        </w:rPr>
      </w:pPr>
    </w:p>
    <w:p>
      <w:pPr>
        <w:spacing w:line="620" w:lineRule="exact"/>
        <w:jc w:val="center"/>
        <w:rPr>
          <w:rFonts w:ascii="方正小标宋_GBK" w:hAnsi="宋体" w:eastAsia="方正小标宋_GBK"/>
          <w:sz w:val="44"/>
          <w:szCs w:val="44"/>
        </w:rPr>
      </w:pPr>
      <w:r>
        <w:rPr>
          <w:rFonts w:hint="eastAsia" w:ascii="方正小标宋_GBK" w:hAnsi="宋体" w:eastAsia="方正小标宋_GBK"/>
          <w:sz w:val="44"/>
          <w:szCs w:val="44"/>
        </w:rPr>
        <w:t>2021年青海省民政厅本级福利彩票公益金向社会组织购买社会服务项目资料清单</w:t>
      </w:r>
    </w:p>
    <w:p>
      <w:pPr>
        <w:spacing w:line="620" w:lineRule="exact"/>
        <w:jc w:val="center"/>
        <w:rPr>
          <w:rFonts w:ascii="方正小标宋_GBK" w:hAnsi="宋体" w:eastAsia="方正小标宋_GBK"/>
          <w:sz w:val="44"/>
          <w:szCs w:val="44"/>
        </w:rPr>
      </w:pP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2021年青海省民政厅本级福利彩票公益金支持社会组织参与社会服务项目评审以初审外加厅党组会议研究确定的方式进行，各社会组织需根据项目评审指标准备资料，资料清单如下：</w:t>
      </w:r>
    </w:p>
    <w:p>
      <w:pPr>
        <w:pStyle w:val="2"/>
        <w:shd w:val="clear" w:color="auto" w:fill="FFFFFF"/>
        <w:spacing w:line="560" w:lineRule="exact"/>
        <w:ind w:left="630" w:leftChars="3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1.社会组织登记证书副本复印件（附带年检记录信息）；</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2.本组织章程；</w:t>
      </w:r>
    </w:p>
    <w:p>
      <w:pPr>
        <w:pStyle w:val="2"/>
        <w:shd w:val="clear" w:color="auto" w:fill="FFFFFF"/>
        <w:spacing w:line="560" w:lineRule="exact"/>
        <w:ind w:left="630" w:leftChars="3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3.社会组织专职工作人员与本社会组织签订的劳动合同；</w:t>
      </w:r>
    </w:p>
    <w:p>
      <w:pPr>
        <w:pStyle w:val="2"/>
        <w:shd w:val="clear" w:color="auto" w:fill="FFFFFF"/>
        <w:spacing w:line="560" w:lineRule="exact"/>
        <w:ind w:firstLine="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4.2020年本社会组织专职工作人员缴纳的社保清单；</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5.银行开户许可证；</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6.工作人员花名册（含姓名、性别、身份证号、职务、联系方式、专兼职情况、已取得的专业资格证书、月平均工资、入职时间）；</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7.项目申报书（附项目调研报告及详细实施方案）；</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8.有效期内的社会组织评估等级证书;</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9.建立党组织或党的工作开展情况；</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10.经法定代表人签字盖章的配套资金承诺书和本项目配套资金来源证明材料；</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11.提供近三年内已执行类似项目（结项中未发现重大问题）的合同；</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12.媒体宣传报道资料。</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13.其他证明符合项目资格条件、项目要求的材料等。</w:t>
      </w:r>
    </w:p>
    <w:p>
      <w:pPr>
        <w:widowControl/>
        <w:tabs>
          <w:tab w:val="left" w:pos="567"/>
        </w:tabs>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社会组织需提供以上材料一式两份。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D358E"/>
    <w:rsid w:val="740D358E"/>
    <w:rsid w:val="FDB234FC"/>
    <w:rsid w:val="FF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kern w:val="0"/>
      <w:sz w:val="24"/>
    </w:rPr>
  </w:style>
  <w:style w:type="paragraph" w:customStyle="1" w:styleId="5">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2021-07-16T17:03:00Z</dcterms:created>
  <dc:creator>小草</dc:creator>
  <cp:lastModifiedBy>administrator</cp:lastModifiedBy>
  <dcterms:modified xsi:type="dcterms:W3CDTF">2023-10-07T15:06:12Z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38F5CFDD1691425BBEB60B2333A14F27</vt:lpwstr>
  </property>
</Properties>
</file>